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844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A904C8" w14:paraId="6701E92E" w14:textId="77777777" w:rsidTr="00C13702">
        <w:trPr>
          <w:trHeight w:val="473"/>
        </w:trPr>
        <w:tc>
          <w:tcPr>
            <w:tcW w:w="3081" w:type="dxa"/>
          </w:tcPr>
          <w:p w14:paraId="17B8B4DE" w14:textId="018ED6E0" w:rsidR="00A904C8" w:rsidRDefault="00A904C8" w:rsidP="004F75E3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C8">
              <w:rPr>
                <w:b/>
                <w:bCs/>
                <w:sz w:val="20"/>
                <w:szCs w:val="20"/>
              </w:rPr>
              <w:t>Florida Academic Scholars</w:t>
            </w:r>
          </w:p>
          <w:p w14:paraId="154757DC" w14:textId="36528B59" w:rsidR="00A904C8" w:rsidRPr="00A904C8" w:rsidRDefault="00A904C8" w:rsidP="004F75E3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C8">
              <w:rPr>
                <w:b/>
                <w:bCs/>
                <w:sz w:val="20"/>
                <w:szCs w:val="20"/>
              </w:rPr>
              <w:t>Award</w:t>
            </w:r>
          </w:p>
        </w:tc>
        <w:tc>
          <w:tcPr>
            <w:tcW w:w="3082" w:type="dxa"/>
          </w:tcPr>
          <w:p w14:paraId="19E5021D" w14:textId="5FD5F5A9" w:rsidR="00A904C8" w:rsidRDefault="00A904C8" w:rsidP="004F75E3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C8">
              <w:rPr>
                <w:b/>
                <w:bCs/>
                <w:sz w:val="20"/>
                <w:szCs w:val="20"/>
              </w:rPr>
              <w:t>Florida Medallion Scholars</w:t>
            </w:r>
          </w:p>
          <w:p w14:paraId="6D025C46" w14:textId="23FF72D4" w:rsidR="00A904C8" w:rsidRPr="00A904C8" w:rsidRDefault="00A904C8" w:rsidP="004F75E3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C8">
              <w:rPr>
                <w:b/>
                <w:bCs/>
                <w:sz w:val="20"/>
                <w:szCs w:val="20"/>
              </w:rPr>
              <w:t>Award</w:t>
            </w:r>
          </w:p>
        </w:tc>
        <w:tc>
          <w:tcPr>
            <w:tcW w:w="3082" w:type="dxa"/>
          </w:tcPr>
          <w:p w14:paraId="0E9AE2F7" w14:textId="5681381D" w:rsidR="00A904C8" w:rsidRPr="00A904C8" w:rsidRDefault="00A904C8" w:rsidP="004F75E3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C8">
              <w:rPr>
                <w:b/>
                <w:bCs/>
                <w:sz w:val="20"/>
                <w:szCs w:val="20"/>
              </w:rPr>
              <w:t>Florida Gold seal Vocational Scholars Award</w:t>
            </w:r>
          </w:p>
        </w:tc>
      </w:tr>
      <w:tr w:rsidR="00A904C8" w14:paraId="7629A40B" w14:textId="77777777" w:rsidTr="00C13702">
        <w:trPr>
          <w:trHeight w:val="755"/>
        </w:trPr>
        <w:tc>
          <w:tcPr>
            <w:tcW w:w="3081" w:type="dxa"/>
          </w:tcPr>
          <w:p w14:paraId="4F5B868A" w14:textId="6322C8EF" w:rsidR="00A904C8" w:rsidRDefault="00A904C8" w:rsidP="004F7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100% of tuition and fees at a public institution (or comparable amount at a private institution) </w:t>
            </w:r>
          </w:p>
        </w:tc>
        <w:tc>
          <w:tcPr>
            <w:tcW w:w="3082" w:type="dxa"/>
          </w:tcPr>
          <w:p w14:paraId="09CA7452" w14:textId="77777777" w:rsidR="00A904C8" w:rsidRDefault="00E222D0" w:rsidP="004F7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 of tuition and fees at a public institution (or comparable amount at a private institution)</w:t>
            </w:r>
          </w:p>
          <w:p w14:paraId="05454D81" w14:textId="01ACD506" w:rsidR="000A22B0" w:rsidRPr="000A22B0" w:rsidRDefault="000A22B0" w:rsidP="000A22B0">
            <w:pPr>
              <w:rPr>
                <w:sz w:val="10"/>
                <w:szCs w:val="10"/>
              </w:rPr>
            </w:pPr>
            <w:r w:rsidRPr="000A22B0">
              <w:rPr>
                <w:sz w:val="10"/>
                <w:szCs w:val="10"/>
              </w:rPr>
              <w:t xml:space="preserve">*Beginning in fall </w:t>
            </w:r>
            <w:r w:rsidR="00D85B0A" w:rsidRPr="000A22B0">
              <w:rPr>
                <w:sz w:val="10"/>
                <w:szCs w:val="10"/>
              </w:rPr>
              <w:t>2021, Medallion</w:t>
            </w:r>
            <w:r w:rsidRPr="000A22B0">
              <w:rPr>
                <w:sz w:val="10"/>
                <w:szCs w:val="10"/>
              </w:rPr>
              <w:t xml:space="preserve"> Scholarship students enrolling in an associate degree program at a Florida College System institution will receive 100% tuition and fees. Upon completion, students may transfer their award to another institution and receive 75% tuition and fees.</w:t>
            </w:r>
          </w:p>
        </w:tc>
        <w:tc>
          <w:tcPr>
            <w:tcW w:w="3082" w:type="dxa"/>
          </w:tcPr>
          <w:p w14:paraId="605C6E89" w14:textId="08007D19" w:rsidR="00A904C8" w:rsidRDefault="00E222D0" w:rsidP="004F7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$39-$48/</w:t>
            </w:r>
            <w:r w:rsidR="004B0AEE">
              <w:rPr>
                <w:sz w:val="16"/>
                <w:szCs w:val="16"/>
              </w:rPr>
              <w:t xml:space="preserve">semester </w:t>
            </w:r>
            <w:r>
              <w:rPr>
                <w:sz w:val="16"/>
                <w:szCs w:val="16"/>
              </w:rPr>
              <w:t>credit hour- depending on program</w:t>
            </w:r>
          </w:p>
          <w:p w14:paraId="4EBAFA85" w14:textId="5E29631D" w:rsidR="00476514" w:rsidRDefault="00476514" w:rsidP="004F7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*Up to 72 college credit hours in a </w:t>
            </w:r>
            <w:r w:rsidRPr="00476514">
              <w:rPr>
                <w:b/>
                <w:bCs/>
                <w:sz w:val="16"/>
                <w:szCs w:val="16"/>
              </w:rPr>
              <w:t>vocational program of study</w:t>
            </w:r>
            <w:r>
              <w:rPr>
                <w:sz w:val="16"/>
                <w:szCs w:val="16"/>
              </w:rPr>
              <w:t>*</w:t>
            </w:r>
          </w:p>
        </w:tc>
      </w:tr>
      <w:tr w:rsidR="00A904C8" w14:paraId="35CD21FE" w14:textId="77777777" w:rsidTr="00C13702">
        <w:trPr>
          <w:trHeight w:val="774"/>
        </w:trPr>
        <w:tc>
          <w:tcPr>
            <w:tcW w:w="3081" w:type="dxa"/>
          </w:tcPr>
          <w:p w14:paraId="0F3CF142" w14:textId="77777777" w:rsidR="00DD1092" w:rsidRDefault="00476514" w:rsidP="004F7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3.5 weighted GPA in the 16 </w:t>
            </w:r>
            <w:r w:rsidR="00DD1092">
              <w:rPr>
                <w:sz w:val="16"/>
                <w:szCs w:val="16"/>
              </w:rPr>
              <w:t>college preparatory</w:t>
            </w:r>
            <w:r>
              <w:rPr>
                <w:sz w:val="16"/>
                <w:szCs w:val="16"/>
              </w:rPr>
              <w:t xml:space="preserve"> credits listed </w:t>
            </w:r>
          </w:p>
          <w:p w14:paraId="36873122" w14:textId="1D21B662" w:rsidR="00476514" w:rsidRDefault="00476514" w:rsidP="004F7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(GPA’s are not rounded</w:t>
            </w:r>
            <w:r w:rsidR="00DE4528">
              <w:rPr>
                <w:sz w:val="16"/>
                <w:szCs w:val="16"/>
              </w:rPr>
              <w:t xml:space="preserve"> and weighted 0.5 for AP, DE, IB, and Honors courses)</w:t>
            </w:r>
          </w:p>
        </w:tc>
        <w:tc>
          <w:tcPr>
            <w:tcW w:w="3082" w:type="dxa"/>
          </w:tcPr>
          <w:p w14:paraId="71114D66" w14:textId="77777777" w:rsidR="00DD1092" w:rsidRDefault="00476514" w:rsidP="004F7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3.0 weighted GPA in the 16 </w:t>
            </w:r>
            <w:r w:rsidR="00DD1092">
              <w:rPr>
                <w:sz w:val="16"/>
                <w:szCs w:val="16"/>
              </w:rPr>
              <w:t>college preparatory</w:t>
            </w:r>
            <w:r>
              <w:rPr>
                <w:sz w:val="16"/>
                <w:szCs w:val="16"/>
              </w:rPr>
              <w:t xml:space="preserve"> credits listed </w:t>
            </w:r>
          </w:p>
          <w:p w14:paraId="7B74B7FF" w14:textId="7DB7D1B0" w:rsidR="00476514" w:rsidRDefault="00476514" w:rsidP="004F7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(GPA’s are not rounded</w:t>
            </w:r>
            <w:r w:rsidR="00DE4528">
              <w:rPr>
                <w:sz w:val="16"/>
                <w:szCs w:val="16"/>
              </w:rPr>
              <w:t xml:space="preserve"> and weighted 0.5 for AP, DE, IB, and Honors courses)</w:t>
            </w:r>
          </w:p>
        </w:tc>
        <w:tc>
          <w:tcPr>
            <w:tcW w:w="3082" w:type="dxa"/>
          </w:tcPr>
          <w:p w14:paraId="47C398E3" w14:textId="283E496E" w:rsidR="00A904C8" w:rsidRDefault="00476514" w:rsidP="004F7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3.0 weighted GPA in non-elective courses </w:t>
            </w:r>
            <w:r w:rsidRPr="00476514">
              <w:rPr>
                <w:b/>
                <w:bCs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3.5 unweighted GPA in a minimum of 3 vocational credits (same program)</w:t>
            </w:r>
          </w:p>
        </w:tc>
      </w:tr>
      <w:tr w:rsidR="00A904C8" w14:paraId="5B8023F1" w14:textId="77777777" w:rsidTr="00C13702">
        <w:trPr>
          <w:trHeight w:val="1138"/>
        </w:trPr>
        <w:tc>
          <w:tcPr>
            <w:tcW w:w="3081" w:type="dxa"/>
          </w:tcPr>
          <w:p w14:paraId="6498CDCD" w14:textId="41A4AC45" w:rsidR="00A904C8" w:rsidRPr="00476514" w:rsidRDefault="00476514" w:rsidP="004F75E3">
            <w:pPr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 xml:space="preserve">4-English </w:t>
            </w:r>
            <w:r>
              <w:rPr>
                <w:sz w:val="13"/>
                <w:szCs w:val="13"/>
              </w:rPr>
              <w:t>(three must include substantial writing)</w:t>
            </w:r>
          </w:p>
          <w:p w14:paraId="228C8A3D" w14:textId="77777777" w:rsidR="00476514" w:rsidRPr="00476514" w:rsidRDefault="00476514" w:rsidP="004F75E3">
            <w:pPr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 xml:space="preserve">4- Mathematics </w:t>
            </w:r>
            <w:r w:rsidRPr="00476514">
              <w:rPr>
                <w:sz w:val="13"/>
                <w:szCs w:val="13"/>
              </w:rPr>
              <w:t>(at or above Algebra I)</w:t>
            </w:r>
          </w:p>
          <w:p w14:paraId="13310784" w14:textId="77777777" w:rsidR="00476514" w:rsidRDefault="00476514" w:rsidP="004F75E3">
            <w:pPr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 xml:space="preserve">3- Natural Science </w:t>
            </w:r>
            <w:r w:rsidRPr="00476514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 xml:space="preserve">two </w:t>
            </w:r>
            <w:r w:rsidRPr="00476514">
              <w:rPr>
                <w:sz w:val="13"/>
                <w:szCs w:val="13"/>
              </w:rPr>
              <w:t>must have substantial lab)</w:t>
            </w:r>
          </w:p>
          <w:p w14:paraId="2086F84D" w14:textId="77777777" w:rsidR="00476514" w:rsidRDefault="00476514" w:rsidP="004F7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 Social Science</w:t>
            </w:r>
          </w:p>
          <w:p w14:paraId="175DEB2C" w14:textId="77777777" w:rsidR="00476514" w:rsidRDefault="00476514" w:rsidP="004F75E3">
            <w:pPr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 xml:space="preserve">2-World Language </w:t>
            </w:r>
            <w:r>
              <w:rPr>
                <w:sz w:val="13"/>
                <w:szCs w:val="13"/>
              </w:rPr>
              <w:t>(sequential, in same language)</w:t>
            </w:r>
          </w:p>
          <w:p w14:paraId="199DEBD6" w14:textId="1DF923B6" w:rsidR="00476514" w:rsidRPr="00476514" w:rsidRDefault="00476514" w:rsidP="004F75E3">
            <w:pPr>
              <w:rPr>
                <w:b/>
                <w:bCs/>
                <w:sz w:val="16"/>
                <w:szCs w:val="16"/>
              </w:rPr>
            </w:pPr>
            <w:r w:rsidRPr="00476514">
              <w:rPr>
                <w:b/>
                <w:bCs/>
                <w:sz w:val="16"/>
                <w:szCs w:val="16"/>
              </w:rPr>
              <w:t>16 Total</w:t>
            </w:r>
          </w:p>
        </w:tc>
        <w:tc>
          <w:tcPr>
            <w:tcW w:w="3082" w:type="dxa"/>
          </w:tcPr>
          <w:p w14:paraId="50380FC7" w14:textId="77777777" w:rsidR="00476514" w:rsidRPr="00476514" w:rsidRDefault="00476514" w:rsidP="004F75E3">
            <w:pPr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 xml:space="preserve">4-English </w:t>
            </w:r>
            <w:r>
              <w:rPr>
                <w:sz w:val="13"/>
                <w:szCs w:val="13"/>
              </w:rPr>
              <w:t>(three must include substantial writing)</w:t>
            </w:r>
          </w:p>
          <w:p w14:paraId="11C23444" w14:textId="77777777" w:rsidR="00476514" w:rsidRPr="00476514" w:rsidRDefault="00476514" w:rsidP="004F75E3">
            <w:pPr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 xml:space="preserve">4- Mathematics </w:t>
            </w:r>
            <w:r w:rsidRPr="00476514">
              <w:rPr>
                <w:sz w:val="13"/>
                <w:szCs w:val="13"/>
              </w:rPr>
              <w:t>(at or above Algebra I)</w:t>
            </w:r>
          </w:p>
          <w:p w14:paraId="625BC88D" w14:textId="77777777" w:rsidR="00476514" w:rsidRDefault="00476514" w:rsidP="004F75E3">
            <w:pPr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 xml:space="preserve">3- Natural Science </w:t>
            </w:r>
            <w:r w:rsidRPr="00476514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 xml:space="preserve">two </w:t>
            </w:r>
            <w:r w:rsidRPr="00476514">
              <w:rPr>
                <w:sz w:val="13"/>
                <w:szCs w:val="13"/>
              </w:rPr>
              <w:t>must have substantial lab)</w:t>
            </w:r>
          </w:p>
          <w:p w14:paraId="7629BDBC" w14:textId="77777777" w:rsidR="00476514" w:rsidRDefault="00476514" w:rsidP="004F7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 Social Science</w:t>
            </w:r>
          </w:p>
          <w:p w14:paraId="3A60C072" w14:textId="77777777" w:rsidR="00476514" w:rsidRDefault="00476514" w:rsidP="004F75E3">
            <w:pPr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 xml:space="preserve">2-World Language </w:t>
            </w:r>
            <w:r>
              <w:rPr>
                <w:sz w:val="13"/>
                <w:szCs w:val="13"/>
              </w:rPr>
              <w:t>(sequential, in same language)</w:t>
            </w:r>
          </w:p>
          <w:p w14:paraId="5A6D2D0F" w14:textId="2CC3A5AA" w:rsidR="00A904C8" w:rsidRDefault="00476514" w:rsidP="004F75E3">
            <w:pPr>
              <w:rPr>
                <w:sz w:val="16"/>
                <w:szCs w:val="16"/>
              </w:rPr>
            </w:pPr>
            <w:r w:rsidRPr="00476514">
              <w:rPr>
                <w:b/>
                <w:bCs/>
                <w:sz w:val="16"/>
                <w:szCs w:val="16"/>
              </w:rPr>
              <w:t>16 Total</w:t>
            </w:r>
          </w:p>
        </w:tc>
        <w:tc>
          <w:tcPr>
            <w:tcW w:w="3082" w:type="dxa"/>
          </w:tcPr>
          <w:p w14:paraId="1D9F2426" w14:textId="77777777" w:rsidR="00A904C8" w:rsidRDefault="00AE1DBE" w:rsidP="004F7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English</w:t>
            </w:r>
          </w:p>
          <w:p w14:paraId="7B7D0363" w14:textId="6A5B516A" w:rsidR="00AE1DBE" w:rsidRPr="00AE1DBE" w:rsidRDefault="00AE1DBE" w:rsidP="004F75E3">
            <w:pPr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 xml:space="preserve">4 Math </w:t>
            </w:r>
            <w:r>
              <w:rPr>
                <w:sz w:val="13"/>
                <w:szCs w:val="13"/>
              </w:rPr>
              <w:t>(must include Algebra 1 and Geometry)</w:t>
            </w:r>
          </w:p>
          <w:p w14:paraId="1F3C2166" w14:textId="29CFFD55" w:rsidR="00AE1DBE" w:rsidRDefault="00AE1DBE" w:rsidP="004F75E3">
            <w:pPr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 xml:space="preserve">3 Science </w:t>
            </w:r>
            <w:r>
              <w:rPr>
                <w:sz w:val="13"/>
                <w:szCs w:val="13"/>
              </w:rPr>
              <w:t>(one must be Biology 1, two must be equally rigorous science courses)</w:t>
            </w:r>
          </w:p>
          <w:p w14:paraId="2B366E90" w14:textId="0264490C" w:rsidR="00AE1DBE" w:rsidRDefault="00AE1DBE" w:rsidP="004F75E3">
            <w:pPr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 xml:space="preserve">3 Social Studies </w:t>
            </w:r>
            <w:r>
              <w:rPr>
                <w:sz w:val="13"/>
                <w:szCs w:val="13"/>
              </w:rPr>
              <w:t>(1 World History, 1 U.S. History, .5 U.S. Government, .5 Economics with Financial Literacy)</w:t>
            </w:r>
          </w:p>
          <w:p w14:paraId="5C5303A3" w14:textId="56D7B126" w:rsidR="000B7A49" w:rsidRDefault="000B7A49" w:rsidP="004F75E3">
            <w:pPr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 xml:space="preserve">1 Fine and Performing Arts, Speech and Debate, or Practical Arts* </w:t>
            </w:r>
            <w:r>
              <w:rPr>
                <w:sz w:val="13"/>
                <w:szCs w:val="13"/>
              </w:rPr>
              <w:t>(*specified in course code directory)</w:t>
            </w:r>
          </w:p>
          <w:p w14:paraId="2BB3DBF1" w14:textId="52BBBF3E" w:rsidR="000B7A49" w:rsidRPr="000B7A49" w:rsidRDefault="000B7A49" w:rsidP="004F75E3">
            <w:pPr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 xml:space="preserve">1 Physical Education </w:t>
            </w:r>
            <w:r>
              <w:rPr>
                <w:sz w:val="13"/>
                <w:szCs w:val="13"/>
              </w:rPr>
              <w:t>(to include the integration of health)</w:t>
            </w:r>
          </w:p>
          <w:p w14:paraId="29667AC2" w14:textId="0C64AD82" w:rsidR="00AE1DBE" w:rsidRDefault="00AE1DBE" w:rsidP="004F75E3">
            <w:pPr>
              <w:rPr>
                <w:sz w:val="16"/>
                <w:szCs w:val="16"/>
              </w:rPr>
            </w:pPr>
          </w:p>
        </w:tc>
      </w:tr>
      <w:tr w:rsidR="00A904C8" w14:paraId="5A91A3F0" w14:textId="77777777" w:rsidTr="00C13702">
        <w:trPr>
          <w:trHeight w:val="190"/>
        </w:trPr>
        <w:tc>
          <w:tcPr>
            <w:tcW w:w="3081" w:type="dxa"/>
          </w:tcPr>
          <w:p w14:paraId="283BB40F" w14:textId="77777777" w:rsidR="00A904C8" w:rsidRDefault="00476514" w:rsidP="004F75E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 </w:t>
            </w:r>
            <w:r>
              <w:rPr>
                <w:sz w:val="16"/>
                <w:szCs w:val="16"/>
              </w:rPr>
              <w:t>Community Service Hours</w:t>
            </w:r>
            <w:r w:rsidR="00873966">
              <w:rPr>
                <w:sz w:val="16"/>
                <w:szCs w:val="16"/>
              </w:rPr>
              <w:t xml:space="preserve"> </w:t>
            </w:r>
            <w:r w:rsidR="00873966" w:rsidRPr="00873966">
              <w:rPr>
                <w:sz w:val="16"/>
                <w:szCs w:val="16"/>
                <w:u w:val="single"/>
              </w:rPr>
              <w:t>or</w:t>
            </w:r>
          </w:p>
          <w:p w14:paraId="5DEFA89E" w14:textId="21ECB08B" w:rsidR="00873966" w:rsidRPr="00873966" w:rsidRDefault="00873966" w:rsidP="004F75E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 </w:t>
            </w:r>
            <w:r>
              <w:rPr>
                <w:sz w:val="16"/>
                <w:szCs w:val="16"/>
              </w:rPr>
              <w:t>Work Hours</w:t>
            </w:r>
          </w:p>
        </w:tc>
        <w:tc>
          <w:tcPr>
            <w:tcW w:w="3082" w:type="dxa"/>
          </w:tcPr>
          <w:p w14:paraId="2F2632FB" w14:textId="77777777" w:rsidR="00A904C8" w:rsidRDefault="00476514" w:rsidP="004F75E3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 xml:space="preserve">75 </w:t>
            </w:r>
            <w:r>
              <w:rPr>
                <w:sz w:val="16"/>
                <w:szCs w:val="16"/>
              </w:rPr>
              <w:t>Community Service Hours</w:t>
            </w:r>
            <w:r w:rsidR="00873966">
              <w:rPr>
                <w:sz w:val="16"/>
                <w:szCs w:val="16"/>
              </w:rPr>
              <w:t xml:space="preserve"> </w:t>
            </w:r>
            <w:r w:rsidR="00605671">
              <w:rPr>
                <w:sz w:val="16"/>
                <w:szCs w:val="16"/>
                <w:u w:val="single"/>
              </w:rPr>
              <w:t>or</w:t>
            </w:r>
          </w:p>
          <w:p w14:paraId="4E24ADF5" w14:textId="3FBD8A9A" w:rsidR="00605671" w:rsidRPr="00605671" w:rsidRDefault="00605671" w:rsidP="004F75E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 </w:t>
            </w:r>
            <w:r>
              <w:rPr>
                <w:sz w:val="16"/>
                <w:szCs w:val="16"/>
              </w:rPr>
              <w:t>Work Hours</w:t>
            </w:r>
          </w:p>
        </w:tc>
        <w:tc>
          <w:tcPr>
            <w:tcW w:w="3082" w:type="dxa"/>
          </w:tcPr>
          <w:p w14:paraId="5DC98E2F" w14:textId="77777777" w:rsidR="00A904C8" w:rsidRDefault="00476514" w:rsidP="004F75E3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 xml:space="preserve">30 </w:t>
            </w:r>
            <w:r>
              <w:rPr>
                <w:sz w:val="16"/>
                <w:szCs w:val="16"/>
              </w:rPr>
              <w:t>Community Service Hours</w:t>
            </w:r>
            <w:r w:rsidR="00605671">
              <w:rPr>
                <w:sz w:val="16"/>
                <w:szCs w:val="16"/>
              </w:rPr>
              <w:t xml:space="preserve"> </w:t>
            </w:r>
            <w:r w:rsidR="00605671">
              <w:rPr>
                <w:sz w:val="16"/>
                <w:szCs w:val="16"/>
                <w:u w:val="single"/>
              </w:rPr>
              <w:t>or</w:t>
            </w:r>
          </w:p>
          <w:p w14:paraId="703273CE" w14:textId="7A0A47AD" w:rsidR="00605671" w:rsidRPr="00605671" w:rsidRDefault="00605671" w:rsidP="004F75E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 </w:t>
            </w:r>
            <w:r>
              <w:rPr>
                <w:sz w:val="16"/>
                <w:szCs w:val="16"/>
              </w:rPr>
              <w:t>Work Hours</w:t>
            </w:r>
          </w:p>
        </w:tc>
      </w:tr>
      <w:tr w:rsidR="00A904C8" w14:paraId="2AFFA4CF" w14:textId="77777777" w:rsidTr="00C13702">
        <w:trPr>
          <w:trHeight w:val="2840"/>
        </w:trPr>
        <w:tc>
          <w:tcPr>
            <w:tcW w:w="3081" w:type="dxa"/>
          </w:tcPr>
          <w:p w14:paraId="78F7B19D" w14:textId="77777777" w:rsidR="005733B8" w:rsidRDefault="005733B8" w:rsidP="004F75E3">
            <w:pPr>
              <w:rPr>
                <w:b/>
                <w:sz w:val="20"/>
                <w:szCs w:val="20"/>
                <w:u w:val="single"/>
              </w:rPr>
            </w:pPr>
          </w:p>
          <w:p w14:paraId="2CFAE785" w14:textId="4B8CF09E" w:rsidR="00476514" w:rsidRPr="009C1117" w:rsidRDefault="005E440D" w:rsidP="004F75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202</w:t>
            </w:r>
            <w:r w:rsidR="00103B6D">
              <w:rPr>
                <w:b/>
                <w:sz w:val="20"/>
                <w:szCs w:val="20"/>
                <w:u w:val="single"/>
              </w:rPr>
              <w:t>3</w:t>
            </w:r>
            <w:r w:rsidR="00476514" w:rsidRPr="009C1117">
              <w:rPr>
                <w:b/>
                <w:sz w:val="20"/>
                <w:szCs w:val="20"/>
                <w:u w:val="single"/>
              </w:rPr>
              <w:t xml:space="preserve"> Graduates: </w:t>
            </w:r>
          </w:p>
          <w:p w14:paraId="16640428" w14:textId="4B0BC3CD" w:rsidR="00476514" w:rsidRDefault="00476514" w:rsidP="004F75E3">
            <w:pPr>
              <w:rPr>
                <w:bCs/>
                <w:sz w:val="20"/>
                <w:szCs w:val="20"/>
              </w:rPr>
            </w:pPr>
            <w:r w:rsidRPr="009C1117">
              <w:rPr>
                <w:bCs/>
                <w:sz w:val="20"/>
                <w:szCs w:val="20"/>
              </w:rPr>
              <w:t>29 ACT or 1330 SAT</w:t>
            </w:r>
          </w:p>
          <w:p w14:paraId="1D636C03" w14:textId="0A336F15" w:rsidR="00237EEE" w:rsidRDefault="00237EEE" w:rsidP="004F75E3">
            <w:pPr>
              <w:rPr>
                <w:bCs/>
                <w:sz w:val="20"/>
                <w:szCs w:val="20"/>
              </w:rPr>
            </w:pPr>
          </w:p>
          <w:p w14:paraId="723930BF" w14:textId="531CBA06" w:rsidR="00237EEE" w:rsidRDefault="000B54F4" w:rsidP="004F75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2024 Graduates:</w:t>
            </w:r>
          </w:p>
          <w:p w14:paraId="2D6C52BA" w14:textId="257ED77E" w:rsidR="000B54F4" w:rsidRPr="000B54F4" w:rsidRDefault="000B54F4" w:rsidP="004F75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 ACT or 1340 SAT</w:t>
            </w:r>
          </w:p>
          <w:p w14:paraId="30B425A2" w14:textId="51EA0915" w:rsidR="006664C1" w:rsidRDefault="006664C1" w:rsidP="004F75E3">
            <w:pPr>
              <w:rPr>
                <w:bCs/>
                <w:sz w:val="20"/>
                <w:szCs w:val="20"/>
              </w:rPr>
            </w:pPr>
          </w:p>
          <w:p w14:paraId="1A6B442C" w14:textId="26C77316" w:rsidR="00C27F27" w:rsidRPr="005733B8" w:rsidRDefault="00033BFA" w:rsidP="004F75E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  <w:r w:rsidR="00C27F27" w:rsidRPr="005733B8">
              <w:rPr>
                <w:bCs/>
                <w:sz w:val="16"/>
                <w:szCs w:val="16"/>
              </w:rPr>
              <w:t>Students must send</w:t>
            </w:r>
            <w:r w:rsidR="00497855" w:rsidRPr="005733B8">
              <w:rPr>
                <w:bCs/>
                <w:sz w:val="16"/>
                <w:szCs w:val="16"/>
              </w:rPr>
              <w:t xml:space="preserve"> official</w:t>
            </w:r>
            <w:r w:rsidR="00C27F27" w:rsidRPr="005733B8">
              <w:rPr>
                <w:bCs/>
                <w:sz w:val="16"/>
                <w:szCs w:val="16"/>
              </w:rPr>
              <w:t xml:space="preserve"> test scores to at least on</w:t>
            </w:r>
            <w:r w:rsidR="00497855" w:rsidRPr="005733B8">
              <w:rPr>
                <w:bCs/>
                <w:sz w:val="16"/>
                <w:szCs w:val="16"/>
              </w:rPr>
              <w:t>e</w:t>
            </w:r>
            <w:r w:rsidR="00C27F27" w:rsidRPr="005733B8">
              <w:rPr>
                <w:bCs/>
                <w:sz w:val="16"/>
                <w:szCs w:val="16"/>
              </w:rPr>
              <w:t xml:space="preserve"> State University </w:t>
            </w:r>
            <w:r w:rsidR="0014057C" w:rsidRPr="005733B8">
              <w:rPr>
                <w:bCs/>
                <w:sz w:val="16"/>
                <w:szCs w:val="16"/>
              </w:rPr>
              <w:t>for</w:t>
            </w:r>
            <w:r w:rsidR="007E3BCF">
              <w:rPr>
                <w:bCs/>
                <w:sz w:val="16"/>
                <w:szCs w:val="16"/>
              </w:rPr>
              <w:t xml:space="preserve"> them to be received for evaluation of </w:t>
            </w:r>
            <w:r w:rsidR="0014057C">
              <w:rPr>
                <w:bCs/>
                <w:sz w:val="16"/>
                <w:szCs w:val="16"/>
              </w:rPr>
              <w:t>Bright Futures status.</w:t>
            </w:r>
          </w:p>
          <w:p w14:paraId="16A6C95A" w14:textId="27E6FD3B" w:rsidR="00476514" w:rsidRDefault="00033BFA" w:rsidP="004F7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476514">
              <w:rPr>
                <w:sz w:val="16"/>
                <w:szCs w:val="16"/>
              </w:rPr>
              <w:t>Best composite score without writing</w:t>
            </w:r>
          </w:p>
          <w:p w14:paraId="204B2301" w14:textId="4B2C2384" w:rsidR="00476514" w:rsidRDefault="00476514" w:rsidP="004F7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 scores round up .5 or higher</w:t>
            </w:r>
          </w:p>
        </w:tc>
        <w:tc>
          <w:tcPr>
            <w:tcW w:w="3082" w:type="dxa"/>
          </w:tcPr>
          <w:p w14:paraId="4892F5FA" w14:textId="77777777" w:rsidR="00DD1092" w:rsidRPr="00476514" w:rsidRDefault="00DD1092" w:rsidP="004F75E3">
            <w:pPr>
              <w:rPr>
                <w:b/>
                <w:bCs/>
                <w:sz w:val="20"/>
                <w:szCs w:val="20"/>
              </w:rPr>
            </w:pPr>
          </w:p>
          <w:p w14:paraId="48F3587A" w14:textId="49C2C23A" w:rsidR="00DD1092" w:rsidRPr="009C1117" w:rsidRDefault="005E440D" w:rsidP="004F75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202</w:t>
            </w:r>
            <w:r w:rsidR="00103B6D">
              <w:rPr>
                <w:b/>
                <w:sz w:val="20"/>
                <w:szCs w:val="20"/>
                <w:u w:val="single"/>
              </w:rPr>
              <w:t>3</w:t>
            </w:r>
            <w:r w:rsidR="00DD1092" w:rsidRPr="009C1117">
              <w:rPr>
                <w:b/>
                <w:sz w:val="20"/>
                <w:szCs w:val="20"/>
                <w:u w:val="single"/>
              </w:rPr>
              <w:t xml:space="preserve"> Graduates: </w:t>
            </w:r>
          </w:p>
          <w:p w14:paraId="3A96264C" w14:textId="6B31EA42" w:rsidR="00DD1092" w:rsidRDefault="00DD1092" w:rsidP="004F75E3">
            <w:pPr>
              <w:rPr>
                <w:bCs/>
                <w:sz w:val="20"/>
                <w:szCs w:val="20"/>
              </w:rPr>
            </w:pPr>
            <w:r w:rsidRPr="009C1117">
              <w:rPr>
                <w:bCs/>
                <w:sz w:val="20"/>
                <w:szCs w:val="20"/>
              </w:rPr>
              <w:t>2</w:t>
            </w:r>
            <w:r w:rsidR="006F1F9D" w:rsidRPr="009C1117">
              <w:rPr>
                <w:bCs/>
                <w:sz w:val="20"/>
                <w:szCs w:val="20"/>
              </w:rPr>
              <w:t>5</w:t>
            </w:r>
            <w:r w:rsidRPr="009C1117">
              <w:rPr>
                <w:bCs/>
                <w:sz w:val="20"/>
                <w:szCs w:val="20"/>
              </w:rPr>
              <w:t xml:space="preserve"> ACT or 1210 SAT</w:t>
            </w:r>
          </w:p>
          <w:p w14:paraId="74F4D5D7" w14:textId="6FBCA0A6" w:rsidR="00C62CB6" w:rsidRDefault="00C62CB6" w:rsidP="004F75E3">
            <w:pPr>
              <w:rPr>
                <w:bCs/>
                <w:sz w:val="20"/>
                <w:szCs w:val="20"/>
              </w:rPr>
            </w:pPr>
          </w:p>
          <w:p w14:paraId="326BF0C6" w14:textId="33AA6999" w:rsidR="00C62CB6" w:rsidRDefault="00C62CB6" w:rsidP="004F75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2024 Graduates:</w:t>
            </w:r>
          </w:p>
          <w:p w14:paraId="2BA1E574" w14:textId="09F3252F" w:rsidR="00C62CB6" w:rsidRPr="00C62CB6" w:rsidRDefault="00C62CB6" w:rsidP="004F75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ACT or 1210 SAT</w:t>
            </w:r>
          </w:p>
          <w:p w14:paraId="1E651528" w14:textId="77777777" w:rsidR="005E15A3" w:rsidRDefault="005E15A3" w:rsidP="00033BFA">
            <w:pPr>
              <w:rPr>
                <w:bCs/>
                <w:sz w:val="16"/>
                <w:szCs w:val="16"/>
              </w:rPr>
            </w:pPr>
          </w:p>
          <w:p w14:paraId="79A98D8F" w14:textId="26E95542" w:rsidR="00033BFA" w:rsidRPr="005733B8" w:rsidRDefault="005E15A3" w:rsidP="00033B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  <w:r w:rsidR="00033BFA" w:rsidRPr="005733B8">
              <w:rPr>
                <w:bCs/>
                <w:sz w:val="16"/>
                <w:szCs w:val="16"/>
              </w:rPr>
              <w:t>Students must send official test scores to at least one State University for</w:t>
            </w:r>
            <w:r w:rsidR="00033BFA">
              <w:rPr>
                <w:bCs/>
                <w:sz w:val="16"/>
                <w:szCs w:val="16"/>
              </w:rPr>
              <w:t xml:space="preserve"> them to be received for evaluation of Bright Futures status.</w:t>
            </w:r>
          </w:p>
          <w:p w14:paraId="41255E5A" w14:textId="638D976C" w:rsidR="00DD1092" w:rsidRDefault="007C1CCC" w:rsidP="004F7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D1092">
              <w:rPr>
                <w:sz w:val="16"/>
                <w:szCs w:val="16"/>
              </w:rPr>
              <w:t>Best composite score without writing</w:t>
            </w:r>
          </w:p>
          <w:p w14:paraId="7D8A97A7" w14:textId="51A18740" w:rsidR="00DD1092" w:rsidRDefault="00DD1092" w:rsidP="004F7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 scores round up .5 or higher</w:t>
            </w:r>
          </w:p>
        </w:tc>
        <w:tc>
          <w:tcPr>
            <w:tcW w:w="3082" w:type="dxa"/>
          </w:tcPr>
          <w:p w14:paraId="0327E477" w14:textId="7BE7DC6C" w:rsidR="00A904C8" w:rsidRDefault="00DD1092" w:rsidP="004F7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must achieve the minimum score on each section of the following tests:</w:t>
            </w:r>
          </w:p>
          <w:p w14:paraId="0485FAEB" w14:textId="77777777" w:rsidR="00DD1092" w:rsidRDefault="00DD1092" w:rsidP="004F75E3">
            <w:pPr>
              <w:rPr>
                <w:sz w:val="16"/>
                <w:szCs w:val="16"/>
              </w:rPr>
            </w:pPr>
          </w:p>
          <w:p w14:paraId="41174C74" w14:textId="0DAB784A" w:rsidR="00DD1092" w:rsidRDefault="00DD1092" w:rsidP="004F75E3">
            <w:pPr>
              <w:rPr>
                <w:sz w:val="16"/>
                <w:szCs w:val="16"/>
              </w:rPr>
            </w:pPr>
            <w:r w:rsidRPr="00DD1092">
              <w:rPr>
                <w:b/>
                <w:bCs/>
                <w:sz w:val="16"/>
                <w:szCs w:val="16"/>
              </w:rPr>
              <w:t>ACT</w:t>
            </w:r>
            <w:r>
              <w:rPr>
                <w:sz w:val="16"/>
                <w:szCs w:val="16"/>
              </w:rPr>
              <w:t xml:space="preserve">:    </w:t>
            </w:r>
            <w:r w:rsidR="00282E5A">
              <w:rPr>
                <w:sz w:val="16"/>
                <w:szCs w:val="16"/>
              </w:rPr>
              <w:t>Reading</w:t>
            </w:r>
            <w:r>
              <w:rPr>
                <w:sz w:val="16"/>
                <w:szCs w:val="16"/>
              </w:rPr>
              <w:t xml:space="preserve"> 1</w:t>
            </w:r>
            <w:r w:rsidR="00282E5A">
              <w:rPr>
                <w:sz w:val="16"/>
                <w:szCs w:val="16"/>
              </w:rPr>
              <w:t>9</w:t>
            </w:r>
            <w:r w:rsidR="00D33C5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282E5A">
              <w:rPr>
                <w:sz w:val="16"/>
                <w:szCs w:val="16"/>
              </w:rPr>
              <w:t>English</w:t>
            </w:r>
            <w:r>
              <w:rPr>
                <w:sz w:val="16"/>
                <w:szCs w:val="16"/>
              </w:rPr>
              <w:t xml:space="preserve"> 1</w:t>
            </w:r>
            <w:r w:rsidR="00282E5A">
              <w:rPr>
                <w:sz w:val="16"/>
                <w:szCs w:val="16"/>
              </w:rPr>
              <w:t>7</w:t>
            </w:r>
            <w:r w:rsidR="00D33C5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Math 19</w:t>
            </w:r>
          </w:p>
          <w:p w14:paraId="1CE5B448" w14:textId="5C42CD0D" w:rsidR="00DD1092" w:rsidRDefault="00DD1092" w:rsidP="004F75E3">
            <w:pPr>
              <w:rPr>
                <w:sz w:val="16"/>
                <w:szCs w:val="16"/>
              </w:rPr>
            </w:pPr>
            <w:r w:rsidRPr="00DD1092">
              <w:rPr>
                <w:b/>
                <w:bCs/>
                <w:sz w:val="16"/>
                <w:szCs w:val="16"/>
              </w:rPr>
              <w:t>SAT:</w:t>
            </w:r>
            <w:r>
              <w:rPr>
                <w:sz w:val="16"/>
                <w:szCs w:val="16"/>
              </w:rPr>
              <w:t xml:space="preserve">     Reading Test 24</w:t>
            </w:r>
            <w:r w:rsidR="0063599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Writing and </w:t>
            </w:r>
            <w:r w:rsidR="001C63B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Language Test 2</w:t>
            </w:r>
            <w:r w:rsidR="001C63BA">
              <w:rPr>
                <w:sz w:val="16"/>
                <w:szCs w:val="16"/>
              </w:rPr>
              <w:t xml:space="preserve">5, </w:t>
            </w:r>
            <w:r>
              <w:rPr>
                <w:sz w:val="16"/>
                <w:szCs w:val="16"/>
              </w:rPr>
              <w:t>Math Test 24</w:t>
            </w:r>
          </w:p>
          <w:p w14:paraId="5F306C48" w14:textId="73CFE60D" w:rsidR="00DD1092" w:rsidRDefault="00DD1092" w:rsidP="004F75E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PERT:   </w:t>
            </w:r>
            <w:r>
              <w:rPr>
                <w:sz w:val="16"/>
                <w:szCs w:val="16"/>
              </w:rPr>
              <w:t>Reading 10</w:t>
            </w:r>
            <w:r w:rsidR="00672513">
              <w:rPr>
                <w:sz w:val="16"/>
                <w:szCs w:val="16"/>
              </w:rPr>
              <w:t>6</w:t>
            </w:r>
            <w:r w:rsidR="0063599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Writing 103</w:t>
            </w:r>
            <w:r w:rsidR="0063599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Math 114</w:t>
            </w:r>
          </w:p>
          <w:p w14:paraId="2F240640" w14:textId="65B9E838" w:rsidR="00DD1092" w:rsidRPr="00DD1092" w:rsidRDefault="00DD1092" w:rsidP="004F75E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Sections of different tests may not be combined</w:t>
            </w:r>
          </w:p>
          <w:p w14:paraId="48E8EE02" w14:textId="5AD60743" w:rsidR="00DD1092" w:rsidRPr="007C1CCC" w:rsidRDefault="007C1CCC" w:rsidP="007C1CC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  <w:r w:rsidR="00635999" w:rsidRPr="005733B8">
              <w:rPr>
                <w:bCs/>
                <w:sz w:val="16"/>
                <w:szCs w:val="16"/>
              </w:rPr>
              <w:t xml:space="preserve">Students must send official </w:t>
            </w:r>
            <w:r>
              <w:rPr>
                <w:bCs/>
                <w:sz w:val="16"/>
                <w:szCs w:val="16"/>
              </w:rPr>
              <w:t>ACT/SAT scores</w:t>
            </w:r>
            <w:r w:rsidR="00635999" w:rsidRPr="005733B8">
              <w:rPr>
                <w:bCs/>
                <w:sz w:val="16"/>
                <w:szCs w:val="16"/>
              </w:rPr>
              <w:t xml:space="preserve"> to at least one State University for</w:t>
            </w:r>
            <w:r w:rsidR="00635999">
              <w:rPr>
                <w:bCs/>
                <w:sz w:val="16"/>
                <w:szCs w:val="16"/>
              </w:rPr>
              <w:t xml:space="preserve"> them to be received for evaluation of Bright Futures status.</w:t>
            </w:r>
            <w:r>
              <w:rPr>
                <w:bCs/>
                <w:sz w:val="16"/>
                <w:szCs w:val="16"/>
              </w:rPr>
              <w:t xml:space="preserve"> Students using PERT must have their scores reflected on their high school transcript.</w:t>
            </w:r>
          </w:p>
        </w:tc>
      </w:tr>
    </w:tbl>
    <w:p w14:paraId="10035167" w14:textId="1E872A78" w:rsidR="00B23240" w:rsidRDefault="00281A99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Initial Eligibility Requirements</w:t>
      </w:r>
      <w:r w:rsidR="004F75E3">
        <w:rPr>
          <w:b/>
          <w:bCs/>
          <w:sz w:val="16"/>
          <w:szCs w:val="16"/>
        </w:rPr>
        <w:t xml:space="preserve"> for Florida Academic Scholars and Florida Medallion Scholars</w:t>
      </w:r>
      <w:r w:rsidR="007848C7">
        <w:rPr>
          <w:b/>
          <w:bCs/>
          <w:sz w:val="16"/>
          <w:szCs w:val="16"/>
        </w:rPr>
        <w:t>:</w:t>
      </w:r>
    </w:p>
    <w:p w14:paraId="4B778B81" w14:textId="68229F36" w:rsidR="00281A99" w:rsidRDefault="00281A99" w:rsidP="00281A99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Submit the Florida Financial Aid Application (FFAA</w:t>
      </w:r>
      <w:r w:rsidR="006664C1">
        <w:rPr>
          <w:sz w:val="16"/>
          <w:szCs w:val="16"/>
        </w:rPr>
        <w:t>) no later than</w:t>
      </w:r>
      <w:r>
        <w:rPr>
          <w:sz w:val="16"/>
          <w:szCs w:val="16"/>
        </w:rPr>
        <w:t xml:space="preserve"> August 31 </w:t>
      </w:r>
      <w:r w:rsidR="006664C1">
        <w:rPr>
          <w:sz w:val="16"/>
          <w:szCs w:val="16"/>
        </w:rPr>
        <w:t>after high school graduation,</w:t>
      </w:r>
    </w:p>
    <w:p w14:paraId="25C0AFBB" w14:textId="1342D521" w:rsidR="00281A99" w:rsidRDefault="00281A99" w:rsidP="00281A99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Complete the </w:t>
      </w:r>
      <w:r w:rsidR="004F75E3">
        <w:rPr>
          <w:sz w:val="16"/>
          <w:szCs w:val="16"/>
        </w:rPr>
        <w:t>16 college-preparatory courses required for admission to a state university</w:t>
      </w:r>
      <w:r w:rsidR="006664C1">
        <w:rPr>
          <w:sz w:val="16"/>
          <w:szCs w:val="16"/>
        </w:rPr>
        <w:t>,</w:t>
      </w:r>
    </w:p>
    <w:p w14:paraId="7E7BFF14" w14:textId="05F705CB" w:rsidR="00281A99" w:rsidRDefault="00281A99" w:rsidP="00281A99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Achieve the required weighted GPA in the 16 college-preparatory courses per chart below</w:t>
      </w:r>
      <w:r w:rsidR="006664C1">
        <w:rPr>
          <w:sz w:val="16"/>
          <w:szCs w:val="16"/>
        </w:rPr>
        <w:t>,</w:t>
      </w:r>
    </w:p>
    <w:p w14:paraId="7774B20B" w14:textId="69A9CBC4" w:rsidR="00281A99" w:rsidRDefault="00281A99" w:rsidP="00281A99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Complete the required number of service hours per chart below</w:t>
      </w:r>
      <w:r w:rsidR="006664C1">
        <w:rPr>
          <w:sz w:val="16"/>
          <w:szCs w:val="16"/>
        </w:rPr>
        <w:t>, and</w:t>
      </w:r>
    </w:p>
    <w:p w14:paraId="4A111DA3" w14:textId="33019175" w:rsidR="00281A99" w:rsidRDefault="00281A99" w:rsidP="00281A99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Achieve the required com</w:t>
      </w:r>
      <w:r w:rsidR="006664C1">
        <w:rPr>
          <w:sz w:val="16"/>
          <w:szCs w:val="16"/>
        </w:rPr>
        <w:t>posite</w:t>
      </w:r>
      <w:r>
        <w:rPr>
          <w:sz w:val="16"/>
          <w:szCs w:val="16"/>
        </w:rPr>
        <w:t xml:space="preserve"> </w:t>
      </w:r>
      <w:r w:rsidR="004F75E3">
        <w:rPr>
          <w:sz w:val="16"/>
          <w:szCs w:val="16"/>
        </w:rPr>
        <w:t>ACT</w:t>
      </w:r>
      <w:r w:rsidR="006F1F9D">
        <w:rPr>
          <w:sz w:val="16"/>
          <w:szCs w:val="16"/>
        </w:rPr>
        <w:t xml:space="preserve"> </w:t>
      </w:r>
      <w:r w:rsidR="004F75E3">
        <w:rPr>
          <w:sz w:val="16"/>
          <w:szCs w:val="16"/>
        </w:rPr>
        <w:t>or com</w:t>
      </w:r>
      <w:r w:rsidR="006664C1">
        <w:rPr>
          <w:sz w:val="16"/>
          <w:szCs w:val="16"/>
        </w:rPr>
        <w:t>bined</w:t>
      </w:r>
      <w:r w:rsidR="004F75E3">
        <w:rPr>
          <w:sz w:val="16"/>
          <w:szCs w:val="16"/>
        </w:rPr>
        <w:t xml:space="preserve"> SAT</w:t>
      </w:r>
      <w:r w:rsidR="006F1F9D">
        <w:rPr>
          <w:sz w:val="16"/>
          <w:szCs w:val="16"/>
        </w:rPr>
        <w:t xml:space="preserve"> </w:t>
      </w:r>
      <w:r w:rsidR="004F75E3">
        <w:rPr>
          <w:sz w:val="16"/>
          <w:szCs w:val="16"/>
        </w:rPr>
        <w:t>score per chart below</w:t>
      </w:r>
      <w:r w:rsidR="005E3E94">
        <w:rPr>
          <w:sz w:val="16"/>
          <w:szCs w:val="16"/>
        </w:rPr>
        <w:t>. Tests may be taken through June 30 of the graduation year</w:t>
      </w:r>
      <w:r w:rsidR="00BA2BAC">
        <w:rPr>
          <w:sz w:val="16"/>
          <w:szCs w:val="16"/>
        </w:rPr>
        <w:t xml:space="preserve"> or January 31 for mid-year graduates.</w:t>
      </w:r>
    </w:p>
    <w:p w14:paraId="6BDFC81B" w14:textId="481BA622" w:rsidR="004F75E3" w:rsidRDefault="004F75E3" w:rsidP="004F75E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Initial Eligibility Requirements for Florida Gold Seal Vocational Scholarship </w:t>
      </w:r>
    </w:p>
    <w:p w14:paraId="030CB597" w14:textId="3301D3AF" w:rsidR="004F75E3" w:rsidRDefault="004F75E3" w:rsidP="004F75E3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Submit the Florida Financial Aid Application (FFAA) </w:t>
      </w:r>
      <w:r w:rsidR="006664C1">
        <w:rPr>
          <w:sz w:val="16"/>
          <w:szCs w:val="16"/>
        </w:rPr>
        <w:t>no later than August 31 after high school graduation,</w:t>
      </w:r>
    </w:p>
    <w:p w14:paraId="199F060C" w14:textId="29DDC24B" w:rsidR="004F75E3" w:rsidRDefault="004F75E3" w:rsidP="004F75E3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Achieve the required weighted 3.0 GPA in the non-elective high school courses</w:t>
      </w:r>
      <w:r w:rsidR="006664C1">
        <w:rPr>
          <w:sz w:val="16"/>
          <w:szCs w:val="16"/>
        </w:rPr>
        <w:t>,</w:t>
      </w:r>
    </w:p>
    <w:p w14:paraId="04B7C9F1" w14:textId="3B73821A" w:rsidR="004F75E3" w:rsidRDefault="004F75E3" w:rsidP="004F75E3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Take at least 3 full credits in a single Career and Technical Education program</w:t>
      </w:r>
      <w:r w:rsidR="006664C1">
        <w:rPr>
          <w:sz w:val="16"/>
          <w:szCs w:val="16"/>
        </w:rPr>
        <w:t>,</w:t>
      </w:r>
    </w:p>
    <w:p w14:paraId="19CAC2EC" w14:textId="5952E487" w:rsidR="004F75E3" w:rsidRDefault="004F75E3" w:rsidP="004F75E3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Achieve the required minimum 3.5 unweighted GPA in the career education courses</w:t>
      </w:r>
      <w:r w:rsidR="006664C1">
        <w:rPr>
          <w:sz w:val="16"/>
          <w:szCs w:val="16"/>
        </w:rPr>
        <w:t>,</w:t>
      </w:r>
    </w:p>
    <w:p w14:paraId="12A49D32" w14:textId="2035F481" w:rsidR="004F75E3" w:rsidRDefault="004F75E3" w:rsidP="004F75E3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Complete 30 service hours</w:t>
      </w:r>
      <w:r w:rsidR="006664C1">
        <w:rPr>
          <w:sz w:val="16"/>
          <w:szCs w:val="16"/>
        </w:rPr>
        <w:t>, and</w:t>
      </w:r>
    </w:p>
    <w:p w14:paraId="1680F265" w14:textId="2F93AEF8" w:rsidR="004F75E3" w:rsidRPr="007C1CCC" w:rsidRDefault="004F75E3" w:rsidP="007C1CCC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Achieve the required minimum scores on one of the college entrance exams per the chart below</w:t>
      </w:r>
      <w:r w:rsidR="006664C1">
        <w:rPr>
          <w:sz w:val="16"/>
          <w:szCs w:val="16"/>
        </w:rPr>
        <w:t>.</w:t>
      </w:r>
    </w:p>
    <w:p w14:paraId="52AAFDE2" w14:textId="77777777" w:rsidR="00C13702" w:rsidRDefault="00C13702" w:rsidP="004F75E3">
      <w:pPr>
        <w:rPr>
          <w:b/>
          <w:bCs/>
          <w:sz w:val="16"/>
          <w:szCs w:val="16"/>
        </w:rPr>
      </w:pPr>
    </w:p>
    <w:p w14:paraId="18B426F3" w14:textId="04DAB52D" w:rsidR="004F75E3" w:rsidRPr="000A22B0" w:rsidRDefault="007848C7" w:rsidP="004F75E3">
      <w:pPr>
        <w:rPr>
          <w:b/>
          <w:bCs/>
          <w:sz w:val="13"/>
          <w:szCs w:val="13"/>
        </w:rPr>
      </w:pPr>
      <w:r w:rsidRPr="000A22B0">
        <w:rPr>
          <w:b/>
          <w:bCs/>
          <w:sz w:val="13"/>
          <w:szCs w:val="13"/>
        </w:rPr>
        <w:t>Requirements to Receive an Award:</w:t>
      </w:r>
      <w:r w:rsidR="005E440D" w:rsidRPr="000A22B0">
        <w:rPr>
          <w:b/>
          <w:bCs/>
          <w:sz w:val="13"/>
          <w:szCs w:val="13"/>
        </w:rPr>
        <w:t xml:space="preserve"> (As determined by the postsecondary institution)</w:t>
      </w:r>
    </w:p>
    <w:p w14:paraId="52470454" w14:textId="65FF847A" w:rsidR="004F75E3" w:rsidRPr="000A22B0" w:rsidRDefault="007848C7" w:rsidP="004F75E3">
      <w:pPr>
        <w:pStyle w:val="ListParagraph"/>
        <w:numPr>
          <w:ilvl w:val="0"/>
          <w:numId w:val="3"/>
        </w:numPr>
        <w:rPr>
          <w:sz w:val="13"/>
          <w:szCs w:val="13"/>
        </w:rPr>
      </w:pPr>
      <w:r w:rsidRPr="000A22B0">
        <w:rPr>
          <w:sz w:val="13"/>
          <w:szCs w:val="13"/>
        </w:rPr>
        <w:t>Evaluated by Office of Student Financial Assistance (OSFA) as meeting the initial eligibility requirements</w:t>
      </w:r>
    </w:p>
    <w:p w14:paraId="097DF25F" w14:textId="0141E652" w:rsidR="004F75E3" w:rsidRPr="000A22B0" w:rsidRDefault="007848C7" w:rsidP="004F75E3">
      <w:pPr>
        <w:pStyle w:val="ListParagraph"/>
        <w:numPr>
          <w:ilvl w:val="0"/>
          <w:numId w:val="3"/>
        </w:numPr>
        <w:rPr>
          <w:sz w:val="13"/>
          <w:szCs w:val="13"/>
        </w:rPr>
      </w:pPr>
      <w:r w:rsidRPr="000A22B0">
        <w:rPr>
          <w:sz w:val="13"/>
          <w:szCs w:val="13"/>
        </w:rPr>
        <w:t>Graduated with a standard high school diploma or its equivalent</w:t>
      </w:r>
    </w:p>
    <w:p w14:paraId="3FC7D08C" w14:textId="3ADD5800" w:rsidR="004F75E3" w:rsidRPr="000A22B0" w:rsidRDefault="007848C7" w:rsidP="004F75E3">
      <w:pPr>
        <w:pStyle w:val="ListParagraph"/>
        <w:numPr>
          <w:ilvl w:val="0"/>
          <w:numId w:val="3"/>
        </w:numPr>
        <w:rPr>
          <w:sz w:val="13"/>
          <w:szCs w:val="13"/>
        </w:rPr>
      </w:pPr>
      <w:r w:rsidRPr="000A22B0">
        <w:rPr>
          <w:sz w:val="13"/>
          <w:szCs w:val="13"/>
        </w:rPr>
        <w:t>Be a Florida resident and U.S. citizen or eligible noncitizen</w:t>
      </w:r>
      <w:r w:rsidR="00A75935" w:rsidRPr="000A22B0">
        <w:rPr>
          <w:sz w:val="13"/>
          <w:szCs w:val="13"/>
        </w:rPr>
        <w:t>, and</w:t>
      </w:r>
    </w:p>
    <w:p w14:paraId="6F9860E0" w14:textId="440EA565" w:rsidR="004F75E3" w:rsidRPr="000A22B0" w:rsidRDefault="007848C7" w:rsidP="004F75E3">
      <w:pPr>
        <w:pStyle w:val="ListParagraph"/>
        <w:numPr>
          <w:ilvl w:val="0"/>
          <w:numId w:val="3"/>
        </w:numPr>
        <w:rPr>
          <w:sz w:val="13"/>
          <w:szCs w:val="13"/>
        </w:rPr>
      </w:pPr>
      <w:r w:rsidRPr="000A22B0">
        <w:rPr>
          <w:sz w:val="13"/>
          <w:szCs w:val="13"/>
        </w:rPr>
        <w:t>Enroll as a degree or certificate-seeking student at a Florida institution in at least 6 non-remedial semester credit hours</w:t>
      </w:r>
    </w:p>
    <w:p w14:paraId="626A749A" w14:textId="5B21324D" w:rsidR="007848C7" w:rsidRPr="000A22B0" w:rsidRDefault="006664C1" w:rsidP="007848C7">
      <w:pPr>
        <w:rPr>
          <w:b/>
          <w:bCs/>
          <w:sz w:val="13"/>
          <w:szCs w:val="13"/>
        </w:rPr>
      </w:pPr>
      <w:r>
        <w:rPr>
          <w:b/>
          <w:bCs/>
          <w:sz w:val="13"/>
          <w:szCs w:val="13"/>
        </w:rPr>
        <w:t>*</w:t>
      </w:r>
      <w:r w:rsidR="007848C7" w:rsidRPr="000A22B0">
        <w:rPr>
          <w:b/>
          <w:bCs/>
          <w:sz w:val="13"/>
          <w:szCs w:val="13"/>
        </w:rPr>
        <w:t>Gold Seal Vocational Scholars Restrictions:</w:t>
      </w:r>
    </w:p>
    <w:p w14:paraId="5167CC46" w14:textId="5942FF00" w:rsidR="00281A99" w:rsidRPr="000A22B0" w:rsidRDefault="007848C7" w:rsidP="000B7A49">
      <w:pPr>
        <w:ind w:left="680"/>
        <w:rPr>
          <w:sz w:val="13"/>
          <w:szCs w:val="13"/>
        </w:rPr>
      </w:pPr>
      <w:r w:rsidRPr="000A22B0">
        <w:rPr>
          <w:sz w:val="13"/>
          <w:szCs w:val="13"/>
        </w:rPr>
        <w:t>Gold Seal may only be used at postsecondary institutions that offer an applied technology diploma, technical degree education  program (associate in applied science or associa</w:t>
      </w:r>
      <w:r w:rsidR="00A75935" w:rsidRPr="000A22B0">
        <w:rPr>
          <w:sz w:val="13"/>
          <w:szCs w:val="13"/>
        </w:rPr>
        <w:t xml:space="preserve">te </w:t>
      </w:r>
      <w:r w:rsidRPr="000A22B0">
        <w:rPr>
          <w:sz w:val="13"/>
          <w:szCs w:val="13"/>
        </w:rPr>
        <w:t>in science), or a career certificate progr</w:t>
      </w:r>
      <w:r w:rsidR="000B7A49" w:rsidRPr="000A22B0">
        <w:rPr>
          <w:sz w:val="13"/>
          <w:szCs w:val="13"/>
        </w:rPr>
        <w:t>a</w:t>
      </w:r>
      <w:r w:rsidR="006664C1">
        <w:rPr>
          <w:sz w:val="13"/>
          <w:szCs w:val="13"/>
        </w:rPr>
        <w:t>m.</w:t>
      </w:r>
    </w:p>
    <w:sectPr w:rsidR="00281A99" w:rsidRPr="000A22B0" w:rsidSect="000B7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2" w:right="1440" w:bottom="1440" w:left="1440" w:header="463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9F81" w14:textId="77777777" w:rsidR="00817114" w:rsidRDefault="00817114" w:rsidP="00A904C8">
      <w:r>
        <w:separator/>
      </w:r>
    </w:p>
  </w:endnote>
  <w:endnote w:type="continuationSeparator" w:id="0">
    <w:p w14:paraId="6B9773FF" w14:textId="77777777" w:rsidR="00817114" w:rsidRDefault="00817114" w:rsidP="00A9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5E98" w14:textId="77777777" w:rsidR="00EE62E4" w:rsidRDefault="00EE6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DCCA" w14:textId="4509030F" w:rsidR="00281A99" w:rsidRDefault="00281A99" w:rsidP="00DE452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For detailed information, including other ways to qualify, please refer to the Bright Futures Student Handbook. </w:t>
    </w:r>
    <w:hyperlink r:id="rId1" w:history="1">
      <w:r w:rsidRPr="00EC554E">
        <w:rPr>
          <w:rStyle w:val="Hyperlink"/>
          <w:sz w:val="16"/>
          <w:szCs w:val="16"/>
        </w:rPr>
        <w:t>https://www.floridastudentfinancialaidsg.org/SAPBFMAIN/SAPBFMAIN</w:t>
      </w:r>
    </w:hyperlink>
  </w:p>
  <w:p w14:paraId="42D9D7FB" w14:textId="44F32030" w:rsidR="00281A99" w:rsidRDefault="00281A99" w:rsidP="00DE4528">
    <w:pPr>
      <w:pStyle w:val="Footer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These eligibility requirements are subject to change with each legislative session.</w:t>
    </w:r>
  </w:p>
  <w:p w14:paraId="3E26B7DD" w14:textId="6E687EBC" w:rsidR="00281A99" w:rsidRDefault="00281A99">
    <w:pPr>
      <w:pStyle w:val="Footer"/>
      <w:rPr>
        <w:b/>
        <w:bCs/>
        <w:sz w:val="16"/>
        <w:szCs w:val="16"/>
      </w:rPr>
    </w:pPr>
  </w:p>
  <w:p w14:paraId="39D2F041" w14:textId="127C3B5F" w:rsidR="00281A99" w:rsidRPr="00281A99" w:rsidRDefault="00281A99">
    <w:pPr>
      <w:pStyle w:val="Footer"/>
      <w:rPr>
        <w:sz w:val="16"/>
        <w:szCs w:val="16"/>
      </w:rPr>
    </w:pPr>
    <w:r>
      <w:rPr>
        <w:sz w:val="16"/>
        <w:szCs w:val="16"/>
      </w:rPr>
      <w:t>The student is responsible for tracking application and award status online and ensuring that funding for an academic year is accurate by contacting their institution’s financial aid office.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B1B1" w14:textId="77777777" w:rsidR="00EE62E4" w:rsidRDefault="00EE6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F203" w14:textId="77777777" w:rsidR="00817114" w:rsidRDefault="00817114" w:rsidP="00A904C8">
      <w:r>
        <w:separator/>
      </w:r>
    </w:p>
  </w:footnote>
  <w:footnote w:type="continuationSeparator" w:id="0">
    <w:p w14:paraId="549A84EC" w14:textId="77777777" w:rsidR="00817114" w:rsidRDefault="00817114" w:rsidP="00A9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A680" w14:textId="77777777" w:rsidR="00EE62E4" w:rsidRDefault="00EE6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5ED4" w14:textId="0F56D037" w:rsidR="00A904C8" w:rsidRDefault="00A904C8" w:rsidP="0007011D">
    <w:pPr>
      <w:pStyle w:val="Header"/>
      <w:jc w:val="center"/>
      <w:rPr>
        <w:sz w:val="44"/>
        <w:szCs w:val="44"/>
      </w:rPr>
    </w:pPr>
    <w:r w:rsidRPr="0007011D">
      <w:rPr>
        <w:sz w:val="44"/>
        <w:szCs w:val="44"/>
      </w:rPr>
      <w:t>Florida Bright Futures Scholarship Program</w:t>
    </w:r>
  </w:p>
  <w:p w14:paraId="107E96BD" w14:textId="66033E08" w:rsidR="00C13702" w:rsidRPr="00C13702" w:rsidRDefault="00C13702" w:rsidP="00C13702">
    <w:pPr>
      <w:pStyle w:val="Header"/>
      <w:jc w:val="center"/>
      <w:rPr>
        <w:sz w:val="32"/>
        <w:szCs w:val="32"/>
      </w:rPr>
    </w:pPr>
    <w:r w:rsidRPr="00C13702">
      <w:rPr>
        <w:sz w:val="32"/>
        <w:szCs w:val="32"/>
      </w:rPr>
      <w:t>Initial Eligibility for High School Applicants</w:t>
    </w:r>
  </w:p>
  <w:p w14:paraId="3C37FF90" w14:textId="30F90CD6" w:rsidR="00A904C8" w:rsidRPr="0007011D" w:rsidRDefault="00A904C8" w:rsidP="0007011D">
    <w:pPr>
      <w:pStyle w:val="Header"/>
      <w:jc w:val="center"/>
    </w:pPr>
    <w:r w:rsidRPr="00A904C8">
      <w:rPr>
        <w:sz w:val="16"/>
        <w:szCs w:val="16"/>
      </w:rPr>
      <w:t xml:space="preserve">The application opens annually on October 1. </w:t>
    </w:r>
  </w:p>
  <w:p w14:paraId="4A20212A" w14:textId="77777777" w:rsidR="00281A99" w:rsidRPr="00A904C8" w:rsidRDefault="00281A99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F69F" w14:textId="77777777" w:rsidR="00EE62E4" w:rsidRDefault="00EE6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28D"/>
    <w:multiLevelType w:val="hybridMultilevel"/>
    <w:tmpl w:val="0E123CD6"/>
    <w:lvl w:ilvl="0" w:tplc="EE6AE7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5535"/>
    <w:multiLevelType w:val="hybridMultilevel"/>
    <w:tmpl w:val="534C1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94E2A"/>
    <w:multiLevelType w:val="hybridMultilevel"/>
    <w:tmpl w:val="534C1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97129"/>
    <w:multiLevelType w:val="hybridMultilevel"/>
    <w:tmpl w:val="534C1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4480F"/>
    <w:multiLevelType w:val="hybridMultilevel"/>
    <w:tmpl w:val="534C1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8522">
    <w:abstractNumId w:val="4"/>
  </w:num>
  <w:num w:numId="2" w16cid:durableId="265502579">
    <w:abstractNumId w:val="1"/>
  </w:num>
  <w:num w:numId="3" w16cid:durableId="1627468701">
    <w:abstractNumId w:val="2"/>
  </w:num>
  <w:num w:numId="4" w16cid:durableId="1895966954">
    <w:abstractNumId w:val="3"/>
  </w:num>
  <w:num w:numId="5" w16cid:durableId="125902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C8"/>
    <w:rsid w:val="00033BFA"/>
    <w:rsid w:val="000510C0"/>
    <w:rsid w:val="0007011D"/>
    <w:rsid w:val="000A22B0"/>
    <w:rsid w:val="000B54F4"/>
    <w:rsid w:val="000B7A49"/>
    <w:rsid w:val="000C306E"/>
    <w:rsid w:val="00103B6D"/>
    <w:rsid w:val="0014057C"/>
    <w:rsid w:val="001C63BA"/>
    <w:rsid w:val="001D1814"/>
    <w:rsid w:val="00237EEE"/>
    <w:rsid w:val="00281A99"/>
    <w:rsid w:val="00282E5A"/>
    <w:rsid w:val="002D0CE2"/>
    <w:rsid w:val="00332E22"/>
    <w:rsid w:val="003359F5"/>
    <w:rsid w:val="003B28FB"/>
    <w:rsid w:val="00476514"/>
    <w:rsid w:val="00483A8F"/>
    <w:rsid w:val="00497855"/>
    <w:rsid w:val="004B0AEE"/>
    <w:rsid w:val="004E2467"/>
    <w:rsid w:val="004F75E3"/>
    <w:rsid w:val="005562D8"/>
    <w:rsid w:val="005733B8"/>
    <w:rsid w:val="00580B75"/>
    <w:rsid w:val="005E15A3"/>
    <w:rsid w:val="005E3E94"/>
    <w:rsid w:val="005E440D"/>
    <w:rsid w:val="00605671"/>
    <w:rsid w:val="00635999"/>
    <w:rsid w:val="006664C1"/>
    <w:rsid w:val="00672513"/>
    <w:rsid w:val="006E061E"/>
    <w:rsid w:val="006F1F9D"/>
    <w:rsid w:val="00703FE3"/>
    <w:rsid w:val="007848C7"/>
    <w:rsid w:val="007C1CCC"/>
    <w:rsid w:val="007E3BCF"/>
    <w:rsid w:val="00817114"/>
    <w:rsid w:val="00873966"/>
    <w:rsid w:val="009C1117"/>
    <w:rsid w:val="00A75935"/>
    <w:rsid w:val="00A904C8"/>
    <w:rsid w:val="00AA5145"/>
    <w:rsid w:val="00AE1DBE"/>
    <w:rsid w:val="00BA2BAC"/>
    <w:rsid w:val="00BD5299"/>
    <w:rsid w:val="00C13702"/>
    <w:rsid w:val="00C27F27"/>
    <w:rsid w:val="00C62CB6"/>
    <w:rsid w:val="00CA051D"/>
    <w:rsid w:val="00D33C5A"/>
    <w:rsid w:val="00D85B0A"/>
    <w:rsid w:val="00DD1092"/>
    <w:rsid w:val="00DE4528"/>
    <w:rsid w:val="00E22094"/>
    <w:rsid w:val="00E222D0"/>
    <w:rsid w:val="00E25411"/>
    <w:rsid w:val="00EE62E4"/>
    <w:rsid w:val="00F01F1B"/>
    <w:rsid w:val="00F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A5F5"/>
  <w15:chartTrackingRefBased/>
  <w15:docId w15:val="{FCCC6DC0-D34D-1146-9E3E-A0386F94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C8"/>
  </w:style>
  <w:style w:type="paragraph" w:styleId="Footer">
    <w:name w:val="footer"/>
    <w:basedOn w:val="Normal"/>
    <w:link w:val="FooterChar"/>
    <w:uiPriority w:val="99"/>
    <w:unhideWhenUsed/>
    <w:rsid w:val="00A90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C8"/>
  </w:style>
  <w:style w:type="table" w:styleId="TableGrid">
    <w:name w:val="Table Grid"/>
    <w:basedOn w:val="TableNormal"/>
    <w:uiPriority w:val="39"/>
    <w:rsid w:val="00A9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A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A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77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oridastudentfinancialaidsg.org/SAPBFMAIN/SAPBF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Gartland</dc:creator>
  <cp:keywords/>
  <dc:description/>
  <cp:lastModifiedBy>Andrea Gartland</cp:lastModifiedBy>
  <cp:revision>31</cp:revision>
  <cp:lastPrinted>2020-08-26T16:26:00Z</cp:lastPrinted>
  <dcterms:created xsi:type="dcterms:W3CDTF">2021-08-05T13:45:00Z</dcterms:created>
  <dcterms:modified xsi:type="dcterms:W3CDTF">2022-09-06T16:25:00Z</dcterms:modified>
</cp:coreProperties>
</file>