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2" w:rsidRDefault="00C610C8" w:rsidP="00331A5C">
      <w:pPr>
        <w:pStyle w:val="Heading1"/>
        <w:ind w:left="5760"/>
        <w:rPr>
          <w:u w:val="none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2247900" cy="342900"/>
            <wp:effectExtent l="0" t="0" r="0" b="0"/>
            <wp:docPr id="1" name="Picture 0" descr="Description: Description: Description: Description: Description: FB_Email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Description: FB_Email_logo_ne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24"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286000" cy="1485900"/>
                <wp:effectExtent l="19050" t="9525" r="952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24" w:rsidRDefault="005D1C24" w:rsidP="005D1C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Patty's Points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9pt;margin-top:0;width:18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5D1C24" w:rsidRDefault="005D1C24" w:rsidP="005D1C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Patty's Points</w:t>
                      </w:r>
                    </w:p>
                  </w:txbxContent>
                </v:textbox>
              </v:shape>
            </w:pict>
          </mc:Fallback>
        </mc:AlternateContent>
      </w:r>
      <w:r w:rsidR="00FC3E33">
        <w:rPr>
          <w:u w:val="none"/>
        </w:rPr>
        <w:t>June</w:t>
      </w:r>
      <w:r w:rsidR="007004E9">
        <w:rPr>
          <w:u w:val="none"/>
        </w:rPr>
        <w:t xml:space="preserve"> </w:t>
      </w:r>
      <w:r w:rsidR="00E06A26">
        <w:rPr>
          <w:u w:val="none"/>
        </w:rPr>
        <w:t>1</w:t>
      </w:r>
      <w:r w:rsidR="00241231">
        <w:rPr>
          <w:u w:val="none"/>
        </w:rPr>
        <w:t>5, 2016</w:t>
      </w:r>
      <w:r w:rsidR="001D2402">
        <w:rPr>
          <w:u w:val="none"/>
        </w:rPr>
        <w:t xml:space="preserve">                   </w:t>
      </w:r>
      <w:r w:rsidR="001D2402">
        <w:rPr>
          <w:u w:val="none"/>
        </w:rPr>
        <w:tab/>
      </w:r>
      <w:r>
        <w:rPr>
          <w:rFonts w:ascii="Cambria" w:hAnsi="Cambria"/>
          <w:noProof/>
          <w:sz w:val="22"/>
        </w:rPr>
        <w:drawing>
          <wp:inline distT="0" distB="0" distL="0" distR="0">
            <wp:extent cx="17240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402">
        <w:rPr>
          <w:u w:val="none"/>
        </w:rPr>
        <w:tab/>
      </w:r>
    </w:p>
    <w:p w:rsidR="001D2402" w:rsidRDefault="004A1B43">
      <w:pPr>
        <w:pStyle w:val="Heading1"/>
        <w:ind w:left="5760"/>
        <w:rPr>
          <w:sz w:val="20"/>
          <w:u w:val="none"/>
        </w:rPr>
      </w:pPr>
      <w:r>
        <w:rPr>
          <w:sz w:val="20"/>
          <w:u w:val="none"/>
        </w:rPr>
        <w:t>Patty Nguyen, On-Site Rep.</w:t>
      </w:r>
    </w:p>
    <w:p w:rsidR="00241231" w:rsidRPr="00241231" w:rsidRDefault="00241231" w:rsidP="0024123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231">
        <w:rPr>
          <w:sz w:val="20"/>
          <w:szCs w:val="20"/>
        </w:rPr>
        <w:t>Patricia.Nguyen@bcbsfl.com</w:t>
      </w:r>
    </w:p>
    <w:p w:rsidR="001D2402" w:rsidRDefault="001D240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Phone:</w:t>
      </w:r>
      <w:r>
        <w:rPr>
          <w:sz w:val="20"/>
        </w:rPr>
        <w:tab/>
        <w:t>813-794-2492</w:t>
      </w:r>
    </w:p>
    <w:p w:rsidR="001D2402" w:rsidRDefault="001D2402">
      <w:pPr>
        <w:pStyle w:val="Heading1"/>
        <w:ind w:left="5760"/>
        <w:rPr>
          <w:sz w:val="20"/>
          <w:u w:val="none"/>
        </w:rPr>
      </w:pPr>
      <w:r>
        <w:rPr>
          <w:sz w:val="20"/>
          <w:u w:val="none"/>
        </w:rPr>
        <w:tab/>
        <w:t>727-774-2492</w:t>
      </w:r>
    </w:p>
    <w:p w:rsidR="001D2402" w:rsidRDefault="001D2402">
      <w:pPr>
        <w:pStyle w:val="Heading1"/>
        <w:ind w:left="5760"/>
        <w:rPr>
          <w:u w:val="none"/>
        </w:rPr>
      </w:pPr>
      <w:r>
        <w:rPr>
          <w:sz w:val="20"/>
          <w:u w:val="none"/>
        </w:rPr>
        <w:tab/>
        <w:t>352-524-2492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D2402" w:rsidRDefault="001D2402">
      <w:r>
        <w:t>Dear Patty:</w:t>
      </w:r>
    </w:p>
    <w:p w:rsidR="001D2402" w:rsidRDefault="001D2402"/>
    <w:p w:rsidR="001D2402" w:rsidRPr="00DC707C" w:rsidRDefault="001D2402" w:rsidP="00C610C8">
      <w:pPr>
        <w:tabs>
          <w:tab w:val="left" w:pos="360"/>
        </w:tabs>
        <w:ind w:left="360" w:hanging="360"/>
        <w:rPr>
          <w:b/>
          <w:color w:val="0070C0"/>
        </w:rPr>
      </w:pPr>
      <w:r w:rsidRPr="00DC707C">
        <w:rPr>
          <w:b/>
          <w:color w:val="0070C0"/>
        </w:rPr>
        <w:t xml:space="preserve">Q:  </w:t>
      </w:r>
      <w:r w:rsidR="007C4CF6" w:rsidRPr="00DC707C">
        <w:rPr>
          <w:b/>
          <w:color w:val="0070C0"/>
        </w:rPr>
        <w:t xml:space="preserve">What </w:t>
      </w:r>
      <w:r w:rsidR="00B36FC2">
        <w:rPr>
          <w:b/>
          <w:color w:val="0070C0"/>
        </w:rPr>
        <w:t>screenings are recommended for men?</w:t>
      </w:r>
    </w:p>
    <w:p w:rsidR="001D2402" w:rsidRDefault="001D2402">
      <w:pPr>
        <w:rPr>
          <w:u w:val="single"/>
        </w:rPr>
      </w:pPr>
    </w:p>
    <w:p w:rsidR="00B21529" w:rsidRDefault="001D2402">
      <w:r>
        <w:t xml:space="preserve">A:  </w:t>
      </w:r>
      <w:r w:rsidR="00B36FC2">
        <w:t>Bel</w:t>
      </w:r>
      <w:r w:rsidR="00DD6E4E">
        <w:t xml:space="preserve">ow is a list of </w:t>
      </w:r>
      <w:r w:rsidR="007732FE">
        <w:t xml:space="preserve">some of the recommended </w:t>
      </w:r>
      <w:r w:rsidR="00DD6E4E">
        <w:t>screening tests</w:t>
      </w:r>
      <w:r w:rsidR="00F67461">
        <w:t>/preventive services</w:t>
      </w:r>
      <w:r w:rsidR="00DD6E4E">
        <w:t>:</w:t>
      </w:r>
    </w:p>
    <w:p w:rsidR="00C31B4F" w:rsidRDefault="00C31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868"/>
      </w:tblGrid>
      <w:tr w:rsidR="007C4CF6" w:rsidTr="001D2402">
        <w:tc>
          <w:tcPr>
            <w:tcW w:w="2988" w:type="dxa"/>
            <w:shd w:val="clear" w:color="auto" w:fill="auto"/>
          </w:tcPr>
          <w:p w:rsidR="007C4CF6" w:rsidRPr="00370A23" w:rsidRDefault="00370A23" w:rsidP="00B36FC2">
            <w:pPr>
              <w:jc w:val="center"/>
              <w:rPr>
                <w:b/>
              </w:rPr>
            </w:pPr>
            <w:r w:rsidRPr="00370A23">
              <w:rPr>
                <w:b/>
              </w:rPr>
              <w:t xml:space="preserve"> </w:t>
            </w:r>
            <w:r w:rsidR="00B36FC2">
              <w:rPr>
                <w:b/>
              </w:rPr>
              <w:t>SCREENING</w:t>
            </w:r>
          </w:p>
        </w:tc>
        <w:tc>
          <w:tcPr>
            <w:tcW w:w="5868" w:type="dxa"/>
            <w:shd w:val="clear" w:color="auto" w:fill="auto"/>
          </w:tcPr>
          <w:p w:rsidR="007C4CF6" w:rsidRPr="00370A23" w:rsidRDefault="00D15217" w:rsidP="00370A2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370A23" w:rsidRPr="00370A23">
              <w:rPr>
                <w:b/>
              </w:rPr>
              <w:t>BENEFITS</w:t>
            </w:r>
          </w:p>
        </w:tc>
      </w:tr>
      <w:tr w:rsidR="007C4CF6" w:rsidTr="001D2402">
        <w:tc>
          <w:tcPr>
            <w:tcW w:w="2988" w:type="dxa"/>
            <w:shd w:val="clear" w:color="auto" w:fill="auto"/>
          </w:tcPr>
          <w:p w:rsidR="007C4CF6" w:rsidRDefault="00B36FC2" w:rsidP="00EF1895">
            <w:r>
              <w:t>Abdominal Aortic Aneurysm (AAA)</w:t>
            </w:r>
          </w:p>
        </w:tc>
        <w:tc>
          <w:tcPr>
            <w:tcW w:w="5868" w:type="dxa"/>
            <w:shd w:val="clear" w:color="auto" w:fill="auto"/>
          </w:tcPr>
          <w:p w:rsidR="007B1A37" w:rsidRDefault="00B36FC2" w:rsidP="00B36FC2">
            <w:pPr>
              <w:pStyle w:val="ListParagraph"/>
              <w:numPr>
                <w:ilvl w:val="0"/>
                <w:numId w:val="10"/>
              </w:numPr>
            </w:pPr>
            <w:r>
              <w:t>Between ages 65 and 75, a history of smoking</w:t>
            </w:r>
          </w:p>
          <w:p w:rsidR="00B36FC2" w:rsidRDefault="00B36FC2" w:rsidP="00B36FC2">
            <w:pPr>
              <w:pStyle w:val="ListParagraph"/>
              <w:numPr>
                <w:ilvl w:val="0"/>
                <w:numId w:val="10"/>
              </w:numPr>
            </w:pPr>
            <w:r>
              <w:t xml:space="preserve">AAA </w:t>
            </w:r>
            <w:r w:rsidRPr="00F95847">
              <w:t>is</w:t>
            </w:r>
            <w:r w:rsidR="00F95847" w:rsidRPr="00F95847">
              <w:t xml:space="preserve"> </w:t>
            </w:r>
            <w:r w:rsidR="00F95847" w:rsidRPr="00F95847">
              <w:rPr>
                <w:lang w:val="en"/>
              </w:rPr>
              <w:t>an abnormally large or swollen blood vessel in your stomach.</w:t>
            </w:r>
            <w:r>
              <w:t xml:space="preserve">   </w:t>
            </w:r>
            <w:r w:rsidR="00F95847">
              <w:t>It can burst without warning and can cause dangerous bleeding.</w:t>
            </w:r>
          </w:p>
          <w:p w:rsidR="00151135" w:rsidRDefault="00584714" w:rsidP="00584714">
            <w:pPr>
              <w:pStyle w:val="ListParagraph"/>
              <w:numPr>
                <w:ilvl w:val="0"/>
                <w:numId w:val="10"/>
              </w:numPr>
            </w:pPr>
            <w:r>
              <w:t xml:space="preserve">The screening is performed by an </w:t>
            </w:r>
            <w:r w:rsidR="00151135">
              <w:t>ultrasound where a technician slides a medical device over your abdomen</w:t>
            </w:r>
            <w:r>
              <w:t xml:space="preserve">. This </w:t>
            </w:r>
            <w:r w:rsidR="00151135">
              <w:t xml:space="preserve">will </w:t>
            </w:r>
            <w:r>
              <w:t>detect</w:t>
            </w:r>
            <w:r w:rsidR="00151135">
              <w:t xml:space="preserve"> whether an aneurysm is present.</w:t>
            </w:r>
          </w:p>
          <w:p w:rsidR="00346729" w:rsidRDefault="00346729" w:rsidP="0074412D">
            <w:r>
              <w:t>Can be</w:t>
            </w:r>
            <w:r w:rsidR="00B10A4B">
              <w:t xml:space="preserve"> performed </w:t>
            </w:r>
            <w:r w:rsidR="005A4607">
              <w:t>at</w:t>
            </w:r>
            <w:r>
              <w:t xml:space="preserve"> your doctor’s office or at a standalone diagnostic imaging center. </w:t>
            </w:r>
            <w:r w:rsidR="0074412D">
              <w:t>Copay varies by plan. There will be higher out</w:t>
            </w:r>
            <w:r>
              <w:t xml:space="preserve"> of pocket </w:t>
            </w:r>
            <w:r w:rsidR="006A5162">
              <w:t xml:space="preserve">expenses </w:t>
            </w:r>
            <w:r w:rsidR="0074412D">
              <w:t xml:space="preserve">if performed at a hospital. </w:t>
            </w:r>
          </w:p>
        </w:tc>
      </w:tr>
      <w:tr w:rsidR="003A68A6" w:rsidTr="001D2402">
        <w:tc>
          <w:tcPr>
            <w:tcW w:w="2988" w:type="dxa"/>
            <w:shd w:val="clear" w:color="auto" w:fill="auto"/>
          </w:tcPr>
          <w:p w:rsidR="003A68A6" w:rsidRDefault="003A68A6" w:rsidP="00FB4A89">
            <w:r>
              <w:t>Aspirin to prevent Cardiovascular Disease</w:t>
            </w:r>
          </w:p>
        </w:tc>
        <w:tc>
          <w:tcPr>
            <w:tcW w:w="5868" w:type="dxa"/>
            <w:shd w:val="clear" w:color="auto" w:fill="auto"/>
          </w:tcPr>
          <w:p w:rsidR="003A68A6" w:rsidRPr="00874E4C" w:rsidRDefault="00874E4C" w:rsidP="00346729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E4C">
              <w:rPr>
                <w:rFonts w:ascii="Times New Roman" w:hAnsi="Times New Roman" w:cs="Times New Roman"/>
                <w:sz w:val="24"/>
                <w:szCs w:val="24"/>
              </w:rPr>
              <w:t>The use of aspirin for men ages 45 to 79 years when the potential benefit due to a reduction in myocardial infarctions outweighs the potential harm due to an increase in gastrointestinal hemorrhage.</w:t>
            </w:r>
          </w:p>
        </w:tc>
      </w:tr>
      <w:tr w:rsidR="00CA156E" w:rsidTr="001D2402">
        <w:tc>
          <w:tcPr>
            <w:tcW w:w="2988" w:type="dxa"/>
            <w:shd w:val="clear" w:color="auto" w:fill="auto"/>
          </w:tcPr>
          <w:p w:rsidR="00CA156E" w:rsidRDefault="00CA156E" w:rsidP="00FB4A89">
            <w:r>
              <w:t>Blood Pressure Screenings</w:t>
            </w:r>
          </w:p>
        </w:tc>
        <w:tc>
          <w:tcPr>
            <w:tcW w:w="5868" w:type="dxa"/>
            <w:shd w:val="clear" w:color="auto" w:fill="auto"/>
          </w:tcPr>
          <w:p w:rsidR="00CA156E" w:rsidRPr="00346729" w:rsidRDefault="00CA156E" w:rsidP="00346729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Screening for High Blood Pressure for adults age 18 and older.</w:t>
            </w:r>
          </w:p>
        </w:tc>
      </w:tr>
      <w:tr w:rsidR="00087165" w:rsidTr="001D2402">
        <w:tc>
          <w:tcPr>
            <w:tcW w:w="2988" w:type="dxa"/>
            <w:shd w:val="clear" w:color="auto" w:fill="auto"/>
          </w:tcPr>
          <w:p w:rsidR="00087165" w:rsidRDefault="00503447" w:rsidP="00FB4A89">
            <w:r>
              <w:t xml:space="preserve">Cholesterol abnormalities screening </w:t>
            </w:r>
          </w:p>
        </w:tc>
        <w:tc>
          <w:tcPr>
            <w:tcW w:w="5868" w:type="dxa"/>
            <w:shd w:val="clear" w:color="auto" w:fill="auto"/>
          </w:tcPr>
          <w:p w:rsidR="00087165" w:rsidRDefault="00503447" w:rsidP="00346729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ages 35 and older</w:t>
            </w:r>
            <w:r w:rsidR="002C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screening for lipid disorders</w:t>
            </w:r>
          </w:p>
          <w:p w:rsidR="00503447" w:rsidRPr="00346729" w:rsidRDefault="00503447" w:rsidP="00D0268A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ages </w:t>
            </w:r>
            <w:r w:rsidR="002C468C">
              <w:rPr>
                <w:rFonts w:ascii="Times New Roman" w:hAnsi="Times New Roman" w:cs="Times New Roman"/>
                <w:sz w:val="24"/>
                <w:szCs w:val="24"/>
              </w:rPr>
              <w:t xml:space="preserve">20-35 years of age: screening for lipid disorders if they are at increased risk </w:t>
            </w:r>
            <w:r w:rsidR="00D0268A">
              <w:rPr>
                <w:rFonts w:ascii="Times New Roman" w:hAnsi="Times New Roman" w:cs="Times New Roman"/>
                <w:sz w:val="24"/>
                <w:szCs w:val="24"/>
              </w:rPr>
              <w:t>of coronary heart disease.</w:t>
            </w:r>
          </w:p>
        </w:tc>
      </w:tr>
      <w:tr w:rsidR="007C4CF6" w:rsidTr="001D2402">
        <w:tc>
          <w:tcPr>
            <w:tcW w:w="2988" w:type="dxa"/>
            <w:shd w:val="clear" w:color="auto" w:fill="auto"/>
          </w:tcPr>
          <w:p w:rsidR="007C4CF6" w:rsidRDefault="007D7DF5" w:rsidP="00FB4A89">
            <w:r>
              <w:lastRenderedPageBreak/>
              <w:t>Colorectal</w:t>
            </w:r>
            <w:r w:rsidR="00346729">
              <w:t xml:space="preserve"> Cancer Screening</w:t>
            </w:r>
          </w:p>
        </w:tc>
        <w:tc>
          <w:tcPr>
            <w:tcW w:w="5868" w:type="dxa"/>
            <w:shd w:val="clear" w:color="auto" w:fill="auto"/>
          </w:tcPr>
          <w:p w:rsidR="007C4CF6" w:rsidRDefault="00346729" w:rsidP="00346729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729">
              <w:rPr>
                <w:rFonts w:ascii="Times New Roman" w:hAnsi="Times New Roman" w:cs="Times New Roman"/>
                <w:sz w:val="24"/>
                <w:szCs w:val="24"/>
              </w:rPr>
              <w:t>Between ages 50 and 75</w:t>
            </w:r>
          </w:p>
          <w:p w:rsidR="006612D3" w:rsidRDefault="007D7DF5" w:rsidP="00DD1CF1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Stool Test/</w:t>
            </w:r>
            <w:r w:rsidR="00346729" w:rsidRPr="00E7216B">
              <w:rPr>
                <w:rFonts w:ascii="Times New Roman" w:hAnsi="Times New Roman" w:cs="Times New Roman"/>
                <w:sz w:val="24"/>
                <w:szCs w:val="24"/>
              </w:rPr>
              <w:t>Colonoscopy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/Sigmoidoscopy</w:t>
            </w:r>
          </w:p>
          <w:p w:rsidR="00346729" w:rsidRPr="00E7216B" w:rsidRDefault="00E7216B" w:rsidP="00BE4153">
            <w:pPr>
              <w:pStyle w:val="NormalW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Routine Screenings &amp; Diagnostic colonoscopies are covered 100% of the allowable charges.  No copays apply.  This includes participating/in-network facility charges, surgeon, anesthesiologist, &amp; pathologist fees.</w:t>
            </w:r>
            <w:r w:rsidR="00BE4153">
              <w:rPr>
                <w:rFonts w:ascii="Times New Roman" w:hAnsi="Times New Roman" w:cs="Times New Roman"/>
                <w:sz w:val="24"/>
                <w:szCs w:val="24"/>
              </w:rPr>
              <w:t xml:space="preserve"> (Note: Specimens sent to an </w:t>
            </w:r>
            <w:r w:rsidR="00BE4153" w:rsidRPr="00A02615">
              <w:rPr>
                <w:rFonts w:ascii="Times New Roman" w:hAnsi="Times New Roman" w:cs="Times New Roman"/>
                <w:b/>
                <w:sz w:val="24"/>
                <w:szCs w:val="24"/>
              </w:rPr>
              <w:t>out of network lab or pathologist</w:t>
            </w:r>
            <w:r w:rsidR="00BE4153">
              <w:rPr>
                <w:rFonts w:ascii="Times New Roman" w:hAnsi="Times New Roman" w:cs="Times New Roman"/>
                <w:sz w:val="24"/>
                <w:szCs w:val="24"/>
              </w:rPr>
              <w:t xml:space="preserve"> will not be covered.)</w:t>
            </w:r>
          </w:p>
        </w:tc>
      </w:tr>
      <w:tr w:rsidR="007C4CF6" w:rsidTr="001D2402">
        <w:tc>
          <w:tcPr>
            <w:tcW w:w="2988" w:type="dxa"/>
            <w:shd w:val="clear" w:color="auto" w:fill="auto"/>
          </w:tcPr>
          <w:p w:rsidR="00662B1F" w:rsidRPr="004308F3" w:rsidRDefault="00C2699F" w:rsidP="004308F3">
            <w:r>
              <w:t>Diabetes</w:t>
            </w:r>
            <w:r w:rsidR="00AA5002">
              <w:t xml:space="preserve"> Screening</w:t>
            </w:r>
          </w:p>
        </w:tc>
        <w:tc>
          <w:tcPr>
            <w:tcW w:w="5868" w:type="dxa"/>
            <w:shd w:val="clear" w:color="auto" w:fill="auto"/>
          </w:tcPr>
          <w:p w:rsidR="007C4CF6" w:rsidRPr="00B430EA" w:rsidRDefault="00E97662" w:rsidP="00995929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Screening for type 2 diabetes in asymptomatic adults with sustained blood pressure  (either treated or untreated) greater than 135/80 mm Hg.</w:t>
            </w:r>
          </w:p>
        </w:tc>
      </w:tr>
      <w:tr w:rsidR="002C5928" w:rsidTr="001D2402">
        <w:tc>
          <w:tcPr>
            <w:tcW w:w="2988" w:type="dxa"/>
            <w:shd w:val="clear" w:color="auto" w:fill="auto"/>
          </w:tcPr>
          <w:p w:rsidR="002C5928" w:rsidRDefault="002C5928">
            <w:r>
              <w:t>Hepatitis B Screening</w:t>
            </w:r>
          </w:p>
        </w:tc>
        <w:tc>
          <w:tcPr>
            <w:tcW w:w="5868" w:type="dxa"/>
            <w:shd w:val="clear" w:color="auto" w:fill="auto"/>
          </w:tcPr>
          <w:p w:rsidR="002C5928" w:rsidRPr="00FC1115" w:rsidRDefault="002C5928" w:rsidP="002C5928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Screening for hepatitis B virus infection in persons at high risk for infection</w:t>
            </w:r>
          </w:p>
        </w:tc>
      </w:tr>
      <w:tr w:rsidR="002C5928" w:rsidTr="001D2402">
        <w:tc>
          <w:tcPr>
            <w:tcW w:w="2988" w:type="dxa"/>
            <w:shd w:val="clear" w:color="auto" w:fill="auto"/>
          </w:tcPr>
          <w:p w:rsidR="002C5928" w:rsidRDefault="002C5928">
            <w:r>
              <w:t>Hepatitis C Screening</w:t>
            </w:r>
          </w:p>
        </w:tc>
        <w:tc>
          <w:tcPr>
            <w:tcW w:w="5868" w:type="dxa"/>
            <w:shd w:val="clear" w:color="auto" w:fill="auto"/>
          </w:tcPr>
          <w:p w:rsidR="002C5928" w:rsidRDefault="000E78D2" w:rsidP="006A1963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Screening for hepatitis C virus (HCV) infection in persons at high risk for infection</w:t>
            </w:r>
          </w:p>
          <w:p w:rsidR="000E78D2" w:rsidRPr="0065107E" w:rsidRDefault="0065107E" w:rsidP="006A1963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07E">
              <w:rPr>
                <w:rFonts w:ascii="Times New Roman" w:hAnsi="Times New Roman" w:cs="Times New Roman"/>
                <w:sz w:val="24"/>
                <w:szCs w:val="24"/>
              </w:rPr>
              <w:t>One-time screening for HCV infection to adults born between 1945 and 1965.</w:t>
            </w:r>
          </w:p>
        </w:tc>
      </w:tr>
      <w:tr w:rsidR="002D5A5E" w:rsidTr="001D2402">
        <w:tc>
          <w:tcPr>
            <w:tcW w:w="2988" w:type="dxa"/>
            <w:shd w:val="clear" w:color="auto" w:fill="auto"/>
          </w:tcPr>
          <w:p w:rsidR="002D5A5E" w:rsidRDefault="002D5A5E">
            <w:r>
              <w:t>Lung Cancer Screening</w:t>
            </w:r>
          </w:p>
        </w:tc>
        <w:tc>
          <w:tcPr>
            <w:tcW w:w="5868" w:type="dxa"/>
            <w:shd w:val="clear" w:color="auto" w:fill="auto"/>
          </w:tcPr>
          <w:p w:rsidR="002D5A5E" w:rsidRPr="00FC1115" w:rsidRDefault="00FC1115" w:rsidP="006A1963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screening for lung cancer with low-dose computed tomography in adults aged 55 to 80 years who have a 30 pack-year smoking history and currently smoke or have quit within the past 15 years</w:t>
            </w:r>
          </w:p>
        </w:tc>
      </w:tr>
      <w:tr w:rsidR="007C4CF6" w:rsidTr="001D2402">
        <w:tc>
          <w:tcPr>
            <w:tcW w:w="2988" w:type="dxa"/>
            <w:shd w:val="clear" w:color="auto" w:fill="auto"/>
          </w:tcPr>
          <w:p w:rsidR="007C4CF6" w:rsidRPr="004308F3" w:rsidRDefault="00D4174E">
            <w:r>
              <w:t>Skin Cancer</w:t>
            </w:r>
            <w:r w:rsidR="003B2698">
              <w:t xml:space="preserve"> Screening</w:t>
            </w:r>
          </w:p>
        </w:tc>
        <w:tc>
          <w:tcPr>
            <w:tcW w:w="5868" w:type="dxa"/>
            <w:shd w:val="clear" w:color="auto" w:fill="auto"/>
          </w:tcPr>
          <w:p w:rsidR="000C0651" w:rsidRPr="004866E5" w:rsidRDefault="00AD1301" w:rsidP="007622D8">
            <w:pPr>
              <w:pStyle w:val="NormalWe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Discuss with your</w:t>
            </w:r>
            <w:r w:rsidR="00D4174E"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Primary Care Physician about getting screened.  Under the HMO plans you have </w:t>
            </w:r>
            <w:r w:rsidR="00D4174E" w:rsidRPr="00823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visits</w:t>
            </w:r>
            <w:r w:rsidR="007F3ECA" w:rsidRPr="00823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 calendar year</w:t>
            </w:r>
            <w:r w:rsidR="00D4174E"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B8" w:rsidRPr="004866E5">
              <w:rPr>
                <w:rFonts w:ascii="Times New Roman" w:hAnsi="Times New Roman" w:cs="Times New Roman"/>
                <w:sz w:val="24"/>
                <w:szCs w:val="24"/>
              </w:rPr>
              <w:t>without a referral</w:t>
            </w: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from your Primary Care Physician</w:t>
            </w:r>
            <w:r w:rsidR="00F277B8"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3ECA"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Just make sure the Dermatologist is participating with </w:t>
            </w:r>
            <w:r w:rsidR="007622D8">
              <w:rPr>
                <w:rFonts w:ascii="Times New Roman" w:hAnsi="Times New Roman" w:cs="Times New Roman"/>
                <w:sz w:val="24"/>
                <w:szCs w:val="24"/>
              </w:rPr>
              <w:t>the BlueCare</w:t>
            </w:r>
            <w:r w:rsidR="007F3ECA"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HMO </w:t>
            </w:r>
            <w:r w:rsidR="007622D8">
              <w:rPr>
                <w:rFonts w:ascii="Times New Roman" w:hAnsi="Times New Roman" w:cs="Times New Roman"/>
                <w:sz w:val="24"/>
                <w:szCs w:val="24"/>
              </w:rPr>
              <w:t>network.</w:t>
            </w:r>
          </w:p>
        </w:tc>
      </w:tr>
    </w:tbl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527A1B" w:rsidRDefault="001D2402" w:rsidP="00C610C8">
      <w:pPr>
        <w:tabs>
          <w:tab w:val="left" w:pos="360"/>
        </w:tabs>
        <w:ind w:left="360" w:hanging="360"/>
        <w:rPr>
          <w:b/>
          <w:color w:val="0070C0"/>
        </w:rPr>
      </w:pPr>
      <w:r w:rsidRPr="00DC707C">
        <w:rPr>
          <w:b/>
          <w:color w:val="0070C0"/>
        </w:rPr>
        <w:t xml:space="preserve">Q:  </w:t>
      </w:r>
      <w:r w:rsidR="00D975C6">
        <w:rPr>
          <w:b/>
          <w:color w:val="0070C0"/>
        </w:rPr>
        <w:t>Wh</w:t>
      </w:r>
      <w:r w:rsidR="00317AB1">
        <w:rPr>
          <w:b/>
          <w:color w:val="0070C0"/>
        </w:rPr>
        <w:t>ich</w:t>
      </w:r>
      <w:r w:rsidR="00D975C6">
        <w:rPr>
          <w:b/>
          <w:color w:val="0070C0"/>
        </w:rPr>
        <w:t xml:space="preserve"> Immunizations </w:t>
      </w:r>
      <w:r w:rsidR="00DD6E4E">
        <w:rPr>
          <w:b/>
          <w:color w:val="0070C0"/>
        </w:rPr>
        <w:t>are covered under my plan</w:t>
      </w:r>
      <w:r w:rsidR="00EC62B4" w:rsidRPr="00DC707C">
        <w:rPr>
          <w:b/>
          <w:color w:val="0070C0"/>
        </w:rPr>
        <w:t>?</w:t>
      </w:r>
    </w:p>
    <w:p w:rsidR="00AA5002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AA5002" w:rsidRPr="00DC707C" w:rsidRDefault="00AA5002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16509D" w:rsidRPr="00C610C8" w:rsidRDefault="0016509D" w:rsidP="00C610C8">
      <w:pPr>
        <w:tabs>
          <w:tab w:val="left" w:pos="360"/>
        </w:tabs>
        <w:ind w:left="360" w:hanging="360"/>
      </w:pPr>
    </w:p>
    <w:p w:rsidR="001D2402" w:rsidRDefault="00527A1B" w:rsidP="00C610C8">
      <w:pPr>
        <w:tabs>
          <w:tab w:val="left" w:pos="360"/>
        </w:tabs>
        <w:ind w:left="360" w:hanging="360"/>
      </w:pPr>
      <w:r w:rsidRPr="00C610C8">
        <w:t xml:space="preserve">A:  </w:t>
      </w:r>
      <w:r w:rsidR="00961D15">
        <w:t>Here’s a</w:t>
      </w:r>
      <w:r w:rsidR="008945E7">
        <w:t xml:space="preserve"> </w:t>
      </w:r>
      <w:r w:rsidR="00961D15">
        <w:t>list</w:t>
      </w:r>
      <w:r w:rsidR="005E6A5C">
        <w:t xml:space="preserve"> of some</w:t>
      </w:r>
      <w:r w:rsidR="001C541F">
        <w:t xml:space="preserve"> of the covered</w:t>
      </w:r>
      <w:r w:rsidR="005E6A5C">
        <w:t xml:space="preserve"> immunizations</w:t>
      </w:r>
      <w:r w:rsidR="00961D15">
        <w:t xml:space="preserve">.  Please note </w:t>
      </w:r>
      <w:r w:rsidR="001C541F">
        <w:t>immunizations</w:t>
      </w:r>
      <w:r w:rsidR="00961D15">
        <w:t xml:space="preserve"> </w:t>
      </w:r>
      <w:r w:rsidR="00C31403">
        <w:t xml:space="preserve">administered by a Pharmacist </w:t>
      </w:r>
      <w:r w:rsidR="00961D15">
        <w:t xml:space="preserve">are </w:t>
      </w:r>
      <w:r w:rsidR="00961D15" w:rsidRPr="00961D15">
        <w:rPr>
          <w:b/>
        </w:rPr>
        <w:t>NOT COVERED</w:t>
      </w:r>
      <w:r w:rsidR="00C31403">
        <w:t xml:space="preserve"> under your plan.</w:t>
      </w:r>
    </w:p>
    <w:p w:rsidR="003A1950" w:rsidRDefault="003A1950" w:rsidP="00C610C8">
      <w:pPr>
        <w:tabs>
          <w:tab w:val="left" w:pos="360"/>
        </w:tabs>
        <w:ind w:left="360" w:hanging="360"/>
      </w:pPr>
    </w:p>
    <w:p w:rsidR="0036111E" w:rsidRDefault="0036111E" w:rsidP="00C610C8">
      <w:pPr>
        <w:tabs>
          <w:tab w:val="left" w:pos="360"/>
        </w:tabs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6"/>
        <w:gridCol w:w="5778"/>
      </w:tblGrid>
      <w:tr w:rsidR="00643A9B" w:rsidTr="00340E59">
        <w:tc>
          <w:tcPr>
            <w:tcW w:w="2296" w:type="dxa"/>
          </w:tcPr>
          <w:p w:rsidR="00643A9B" w:rsidRPr="007622D8" w:rsidRDefault="00643A9B" w:rsidP="00C610C8">
            <w:pPr>
              <w:tabs>
                <w:tab w:val="left" w:pos="360"/>
              </w:tabs>
              <w:rPr>
                <w:b/>
              </w:rPr>
            </w:pPr>
            <w:r w:rsidRPr="007622D8">
              <w:rPr>
                <w:b/>
              </w:rPr>
              <w:t>IMMUNIZATIONS</w:t>
            </w:r>
          </w:p>
        </w:tc>
        <w:tc>
          <w:tcPr>
            <w:tcW w:w="5778" w:type="dxa"/>
          </w:tcPr>
          <w:p w:rsidR="00643A9B" w:rsidRPr="007622D8" w:rsidRDefault="00643A9B" w:rsidP="007622D8">
            <w:pPr>
              <w:tabs>
                <w:tab w:val="left" w:pos="360"/>
              </w:tabs>
              <w:jc w:val="center"/>
              <w:rPr>
                <w:b/>
              </w:rPr>
            </w:pPr>
            <w:r w:rsidRPr="007622D8">
              <w:rPr>
                <w:b/>
              </w:rPr>
              <w:t>PLAN BENEFITS</w:t>
            </w:r>
          </w:p>
        </w:tc>
      </w:tr>
      <w:tr w:rsidR="00643A9B" w:rsidTr="00340E59">
        <w:tc>
          <w:tcPr>
            <w:tcW w:w="2296" w:type="dxa"/>
          </w:tcPr>
          <w:p w:rsidR="00643A9B" w:rsidRDefault="001400BD" w:rsidP="00643A9B">
            <w:pPr>
              <w:tabs>
                <w:tab w:val="left" w:pos="1020"/>
              </w:tabs>
            </w:pPr>
            <w:r>
              <w:t>Annual Flu Vaccine</w:t>
            </w:r>
          </w:p>
        </w:tc>
        <w:tc>
          <w:tcPr>
            <w:tcW w:w="5778" w:type="dxa"/>
          </w:tcPr>
          <w:p w:rsidR="00340E59" w:rsidRDefault="00001A4C" w:rsidP="00961D15">
            <w:pPr>
              <w:tabs>
                <w:tab w:val="left" w:pos="360"/>
              </w:tabs>
            </w:pPr>
            <w:r>
              <w:t>Covered 100% when administered at CareHere</w:t>
            </w:r>
            <w:r w:rsidR="00503EB3">
              <w:t xml:space="preserve"> Health &amp;</w:t>
            </w:r>
            <w:r>
              <w:t xml:space="preserve"> Wellness Center</w:t>
            </w:r>
            <w:r w:rsidR="006E6E2E">
              <w:t xml:space="preserve"> (HWC)</w:t>
            </w:r>
            <w:r>
              <w:t xml:space="preserve">, </w:t>
            </w:r>
            <w:r w:rsidR="006A1963">
              <w:t>an</w:t>
            </w:r>
            <w:r w:rsidR="00FC3E33">
              <w:t xml:space="preserve"> in-network doctor’s office </w:t>
            </w:r>
            <w:r w:rsidR="004738D3">
              <w:t>or</w:t>
            </w:r>
            <w:r w:rsidR="00FC3E33">
              <w:t xml:space="preserve"> at an in-network</w:t>
            </w:r>
            <w:r w:rsidR="00643A9B">
              <w:t xml:space="preserve"> </w:t>
            </w:r>
            <w:r w:rsidR="00FC3E33">
              <w:t>Convenient Care Center (CCC), i.e.,</w:t>
            </w:r>
            <w:r w:rsidR="00643A9B">
              <w:t xml:space="preserve"> </w:t>
            </w:r>
            <w:r w:rsidR="00823CF7">
              <w:t xml:space="preserve">Participating </w:t>
            </w:r>
            <w:r w:rsidR="00643A9B">
              <w:t>Take Care Health Clinic located</w:t>
            </w:r>
            <w:r w:rsidR="00961D15">
              <w:t xml:space="preserve"> inside the Walgreen’s Pharmacy. </w:t>
            </w:r>
            <w:r w:rsidR="008D5EEF" w:rsidRPr="008D5EEF">
              <w:rPr>
                <w:b/>
                <w:i/>
              </w:rPr>
              <w:t xml:space="preserve">(Important Note: Not all locations are contracted to administer the flu vaccine.  </w:t>
            </w:r>
            <w:r w:rsidR="00CE4252" w:rsidRPr="008D5EEF">
              <w:rPr>
                <w:b/>
                <w:i/>
              </w:rPr>
              <w:t xml:space="preserve">Please check with Patty Nguyen for </w:t>
            </w:r>
            <w:r w:rsidR="00F67461">
              <w:rPr>
                <w:b/>
                <w:i/>
              </w:rPr>
              <w:t xml:space="preserve">a </w:t>
            </w:r>
            <w:r w:rsidR="00CE4252" w:rsidRPr="008D5EEF">
              <w:rPr>
                <w:b/>
                <w:i/>
              </w:rPr>
              <w:t>list of participating providers.</w:t>
            </w:r>
            <w:r w:rsidR="008D5EEF" w:rsidRPr="008D5EEF">
              <w:rPr>
                <w:b/>
                <w:i/>
              </w:rPr>
              <w:t>)</w:t>
            </w:r>
          </w:p>
        </w:tc>
      </w:tr>
      <w:tr w:rsidR="005213C1" w:rsidTr="00340E59">
        <w:tc>
          <w:tcPr>
            <w:tcW w:w="2296" w:type="dxa"/>
          </w:tcPr>
          <w:p w:rsidR="005213C1" w:rsidRDefault="005213C1" w:rsidP="00643A9B">
            <w:pPr>
              <w:tabs>
                <w:tab w:val="left" w:pos="1020"/>
              </w:tabs>
            </w:pPr>
            <w:r>
              <w:t>Pneumonia Vaccine</w:t>
            </w:r>
          </w:p>
        </w:tc>
        <w:tc>
          <w:tcPr>
            <w:tcW w:w="5778" w:type="dxa"/>
          </w:tcPr>
          <w:p w:rsidR="005213C1" w:rsidRDefault="005213C1" w:rsidP="00340390">
            <w:pPr>
              <w:tabs>
                <w:tab w:val="left" w:pos="360"/>
              </w:tabs>
            </w:pPr>
            <w:r>
              <w:t xml:space="preserve">Age 65 or older. One dose covered 100% at CareHere </w:t>
            </w:r>
            <w:r w:rsidR="006E6E2E">
              <w:t>HWC</w:t>
            </w:r>
            <w:r>
              <w:t xml:space="preserve"> or at your in-network doctor’s office.</w:t>
            </w:r>
          </w:p>
        </w:tc>
      </w:tr>
      <w:tr w:rsidR="00340E59" w:rsidTr="00340E59">
        <w:tc>
          <w:tcPr>
            <w:tcW w:w="2296" w:type="dxa"/>
          </w:tcPr>
          <w:p w:rsidR="00B22C06" w:rsidRDefault="00B22C06" w:rsidP="00643A9B">
            <w:pPr>
              <w:tabs>
                <w:tab w:val="left" w:pos="1020"/>
              </w:tabs>
            </w:pPr>
            <w:r>
              <w:t>Shingles (Zoster)</w:t>
            </w:r>
          </w:p>
          <w:p w:rsidR="00340E59" w:rsidRDefault="00001A4C" w:rsidP="00643A9B">
            <w:pPr>
              <w:tabs>
                <w:tab w:val="left" w:pos="1020"/>
              </w:tabs>
            </w:pPr>
            <w:r>
              <w:t>Vaccine</w:t>
            </w:r>
          </w:p>
        </w:tc>
        <w:tc>
          <w:tcPr>
            <w:tcW w:w="5778" w:type="dxa"/>
          </w:tcPr>
          <w:p w:rsidR="00340E59" w:rsidRDefault="00001A4C" w:rsidP="009B2FF2">
            <w:pPr>
              <w:tabs>
                <w:tab w:val="left" w:pos="360"/>
              </w:tabs>
            </w:pPr>
            <w:r>
              <w:t xml:space="preserve">Age 60 or older.  </w:t>
            </w:r>
            <w:r w:rsidR="00FC3E33">
              <w:t xml:space="preserve">Covered 100% at </w:t>
            </w:r>
            <w:r w:rsidR="00DD6E4E">
              <w:t xml:space="preserve">CareHere </w:t>
            </w:r>
            <w:r w:rsidR="006E6E2E">
              <w:t xml:space="preserve">HWC </w:t>
            </w:r>
            <w:r w:rsidR="00DD6E4E">
              <w:t xml:space="preserve">or at </w:t>
            </w:r>
            <w:r w:rsidR="00FC3E33">
              <w:t xml:space="preserve">your in-network doctor’s office if he/she </w:t>
            </w:r>
            <w:r w:rsidR="006A1963">
              <w:t xml:space="preserve">supplies </w:t>
            </w:r>
            <w:r w:rsidR="00FC3E33">
              <w:t>the vaccine.</w:t>
            </w:r>
            <w:r w:rsidR="00165C9A">
              <w:t xml:space="preserve"> If your doctor does not supply the vaccine he</w:t>
            </w:r>
            <w:r w:rsidR="006A1963">
              <w:t>/she</w:t>
            </w:r>
            <w:r w:rsidR="009B2FF2">
              <w:t xml:space="preserve"> can order from</w:t>
            </w:r>
            <w:r w:rsidR="00165C9A">
              <w:t xml:space="preserve"> Carem</w:t>
            </w:r>
            <w:r w:rsidR="00340390">
              <w:t>ark Specialty Pharmacy</w:t>
            </w:r>
            <w:r w:rsidR="009B2FF2">
              <w:t xml:space="preserve"> Services. </w:t>
            </w:r>
            <w:r w:rsidR="00340390">
              <w:t xml:space="preserve"> Phone number is </w:t>
            </w:r>
            <w:r w:rsidR="00340390" w:rsidRPr="00340390">
              <w:t>1-866-278-5108</w:t>
            </w:r>
            <w:r w:rsidR="00340390">
              <w:t>.</w:t>
            </w:r>
          </w:p>
          <w:p w:rsidR="009B2FF2" w:rsidRDefault="009B2FF2" w:rsidP="009B2FF2">
            <w:pPr>
              <w:tabs>
                <w:tab w:val="left" w:pos="360"/>
              </w:tabs>
            </w:pPr>
          </w:p>
          <w:p w:rsidR="009B2FF2" w:rsidRDefault="009B2FF2" w:rsidP="009B2FF2">
            <w:pPr>
              <w:tabs>
                <w:tab w:val="left" w:pos="360"/>
              </w:tabs>
            </w:pPr>
            <w:r>
              <w:t xml:space="preserve">(Note: </w:t>
            </w:r>
            <w:r w:rsidR="00465D56">
              <w:t>The Shingles Vaccine administered at the Pasco County Health Department is NOT COVERED.)</w:t>
            </w:r>
          </w:p>
        </w:tc>
      </w:tr>
      <w:tr w:rsidR="00B14404" w:rsidTr="00340E59">
        <w:tc>
          <w:tcPr>
            <w:tcW w:w="2296" w:type="dxa"/>
          </w:tcPr>
          <w:p w:rsidR="00B14404" w:rsidRDefault="00B14404" w:rsidP="00643A9B">
            <w:pPr>
              <w:tabs>
                <w:tab w:val="left" w:pos="1020"/>
              </w:tabs>
            </w:pPr>
            <w:r>
              <w:t>Tetanus, Diptheria and Pertussis (Td/Tdap)</w:t>
            </w:r>
          </w:p>
        </w:tc>
        <w:tc>
          <w:tcPr>
            <w:tcW w:w="5778" w:type="dxa"/>
          </w:tcPr>
          <w:p w:rsidR="00B14404" w:rsidRDefault="00B14404" w:rsidP="00856B0F">
            <w:pPr>
              <w:tabs>
                <w:tab w:val="left" w:pos="360"/>
              </w:tabs>
            </w:pPr>
            <w:r>
              <w:t xml:space="preserve">Age 19 or older. Booster every 10 years.  </w:t>
            </w:r>
            <w:r w:rsidR="00270C02">
              <w:t>C</w:t>
            </w:r>
            <w:r w:rsidR="00DD6E4E">
              <w:t xml:space="preserve">overed </w:t>
            </w:r>
            <w:r w:rsidR="00270C02">
              <w:t xml:space="preserve">100% at CareHere </w:t>
            </w:r>
            <w:r w:rsidR="00503EB3">
              <w:t>H</w:t>
            </w:r>
            <w:r w:rsidR="00856B0F">
              <w:t>WC</w:t>
            </w:r>
            <w:r w:rsidR="00270C02">
              <w:t xml:space="preserve"> or at your in-network doctor’s office.</w:t>
            </w:r>
          </w:p>
        </w:tc>
      </w:tr>
    </w:tbl>
    <w:p w:rsidR="00C3740F" w:rsidRPr="00C610C8" w:rsidRDefault="00C3740F" w:rsidP="00C610C8">
      <w:pPr>
        <w:tabs>
          <w:tab w:val="left" w:pos="360"/>
        </w:tabs>
        <w:ind w:left="360" w:hanging="360"/>
      </w:pPr>
    </w:p>
    <w:p w:rsidR="003A1950" w:rsidRDefault="003A1950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3A1950" w:rsidRDefault="003A1950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C3740F" w:rsidRDefault="00C3740F" w:rsidP="00C610C8">
      <w:pPr>
        <w:tabs>
          <w:tab w:val="left" w:pos="360"/>
        </w:tabs>
        <w:ind w:left="360" w:hanging="360"/>
        <w:rPr>
          <w:b/>
          <w:color w:val="0070C0"/>
        </w:rPr>
      </w:pPr>
      <w:r w:rsidRPr="00DC707C">
        <w:rPr>
          <w:b/>
          <w:color w:val="0070C0"/>
        </w:rPr>
        <w:t xml:space="preserve">Q:  </w:t>
      </w:r>
      <w:r w:rsidR="00444D9E">
        <w:rPr>
          <w:b/>
          <w:color w:val="0070C0"/>
        </w:rPr>
        <w:t>Are routine eye exams covered under my plan?</w:t>
      </w:r>
    </w:p>
    <w:p w:rsidR="00B71639" w:rsidRDefault="00B71639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3A1950" w:rsidRPr="00DC707C" w:rsidRDefault="003A1950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960CFC" w:rsidRPr="00C610C8" w:rsidRDefault="00960CFC" w:rsidP="00C610C8">
      <w:pPr>
        <w:tabs>
          <w:tab w:val="left" w:pos="360"/>
        </w:tabs>
        <w:ind w:left="360" w:hanging="360"/>
      </w:pPr>
    </w:p>
    <w:p w:rsidR="00DF2E8E" w:rsidRPr="00C610C8" w:rsidRDefault="00C3740F" w:rsidP="00C610C8">
      <w:pPr>
        <w:tabs>
          <w:tab w:val="left" w:pos="360"/>
        </w:tabs>
        <w:ind w:left="360" w:hanging="360"/>
      </w:pPr>
      <w:r w:rsidRPr="00C610C8">
        <w:t xml:space="preserve">A:  </w:t>
      </w:r>
      <w:r w:rsidR="00D709C9">
        <w:t>R</w:t>
      </w:r>
      <w:r w:rsidR="00244771">
        <w:t>outine eye exams are not covered under your Florida Blue Medical Plan.</w:t>
      </w:r>
      <w:r w:rsidR="00C67FEA">
        <w:t xml:space="preserve">  Your medical plan </w:t>
      </w:r>
      <w:r w:rsidR="004604CD">
        <w:t>cover</w:t>
      </w:r>
      <w:r w:rsidR="00A806F4">
        <w:t>s</w:t>
      </w:r>
      <w:r w:rsidR="004604CD">
        <w:t xml:space="preserve"> treatment for eye diseases due to medical conditions. For example, diabetes can cause glaucoma and </w:t>
      </w:r>
      <w:r w:rsidR="00C67FEA">
        <w:t>cataracts</w:t>
      </w:r>
      <w:r w:rsidR="00A806F4">
        <w:t xml:space="preserve"> so your doctor may refer you to an ophthalmologist</w:t>
      </w:r>
      <w:r w:rsidR="009D6B99">
        <w:t xml:space="preserve">. </w:t>
      </w:r>
      <w:r w:rsidR="00C67FEA">
        <w:t xml:space="preserve">To find an in network eye specialist, please contact me directly or go online at </w:t>
      </w:r>
      <w:hyperlink r:id="rId9" w:history="1">
        <w:r w:rsidR="00C67FEA" w:rsidRPr="005E572E">
          <w:rPr>
            <w:rStyle w:val="Hyperlink"/>
          </w:rPr>
          <w:t>www.floridablue.com</w:t>
        </w:r>
      </w:hyperlink>
      <w:r w:rsidR="00C67FEA">
        <w:t xml:space="preserve"> and </w:t>
      </w:r>
      <w:r w:rsidR="00965AA4">
        <w:t>click on</w:t>
      </w:r>
      <w:r w:rsidR="00C67FEA">
        <w:t xml:space="preserve"> “Find a Doctor”</w:t>
      </w:r>
      <w:r w:rsidR="00965AA4">
        <w:t xml:space="preserve"> on the blue task bar.</w:t>
      </w:r>
      <w:r w:rsidR="00E94A59">
        <w:t xml:space="preserve">  If you elected Davis Vision benefits please contact them at </w:t>
      </w:r>
      <w:r w:rsidR="00274D27">
        <w:t xml:space="preserve">1-877-923-2847 to inquire about </w:t>
      </w:r>
      <w:r w:rsidR="00E94A59">
        <w:t>routine eye exam benefits.</w:t>
      </w:r>
    </w:p>
    <w:p w:rsidR="0058137D" w:rsidRPr="00C610C8" w:rsidRDefault="0058137D" w:rsidP="00C610C8">
      <w:pPr>
        <w:tabs>
          <w:tab w:val="left" w:pos="360"/>
        </w:tabs>
        <w:ind w:left="360" w:hanging="360"/>
      </w:pPr>
    </w:p>
    <w:p w:rsidR="001D2402" w:rsidRDefault="001D2402"/>
    <w:sectPr w:rsidR="001D240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45E"/>
    <w:multiLevelType w:val="hybridMultilevel"/>
    <w:tmpl w:val="86B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0B67"/>
    <w:multiLevelType w:val="hybridMultilevel"/>
    <w:tmpl w:val="3DD23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B46DD"/>
    <w:multiLevelType w:val="hybridMultilevel"/>
    <w:tmpl w:val="C4463976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44622EBA"/>
    <w:multiLevelType w:val="hybridMultilevel"/>
    <w:tmpl w:val="88443B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BED7CA8"/>
    <w:multiLevelType w:val="hybridMultilevel"/>
    <w:tmpl w:val="6A6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00C8"/>
    <w:multiLevelType w:val="hybridMultilevel"/>
    <w:tmpl w:val="653C456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7F7633E"/>
    <w:multiLevelType w:val="hybridMultilevel"/>
    <w:tmpl w:val="261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8DD"/>
    <w:multiLevelType w:val="hybridMultilevel"/>
    <w:tmpl w:val="EF70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4459"/>
    <w:multiLevelType w:val="hybridMultilevel"/>
    <w:tmpl w:val="BCB88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5D2968"/>
    <w:multiLevelType w:val="hybridMultilevel"/>
    <w:tmpl w:val="6ABC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443D"/>
    <w:multiLevelType w:val="hybridMultilevel"/>
    <w:tmpl w:val="4FA03C8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D8B02C3"/>
    <w:multiLevelType w:val="hybridMultilevel"/>
    <w:tmpl w:val="34E6C8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F"/>
    <w:rsid w:val="00001A4C"/>
    <w:rsid w:val="00015103"/>
    <w:rsid w:val="00024449"/>
    <w:rsid w:val="00044F2A"/>
    <w:rsid w:val="00046712"/>
    <w:rsid w:val="0005390A"/>
    <w:rsid w:val="00061BBA"/>
    <w:rsid w:val="00082B01"/>
    <w:rsid w:val="00087165"/>
    <w:rsid w:val="000962F0"/>
    <w:rsid w:val="000C0651"/>
    <w:rsid w:val="000E19BF"/>
    <w:rsid w:val="000E59B4"/>
    <w:rsid w:val="000E78D2"/>
    <w:rsid w:val="00100F91"/>
    <w:rsid w:val="00102D3C"/>
    <w:rsid w:val="00136E2F"/>
    <w:rsid w:val="001400BD"/>
    <w:rsid w:val="00151135"/>
    <w:rsid w:val="00164DBA"/>
    <w:rsid w:val="0016509D"/>
    <w:rsid w:val="00165C9A"/>
    <w:rsid w:val="00166E24"/>
    <w:rsid w:val="00177A94"/>
    <w:rsid w:val="00183325"/>
    <w:rsid w:val="001A2174"/>
    <w:rsid w:val="001A613F"/>
    <w:rsid w:val="001B12A8"/>
    <w:rsid w:val="001B4E15"/>
    <w:rsid w:val="001C541F"/>
    <w:rsid w:val="001D2402"/>
    <w:rsid w:val="001D2654"/>
    <w:rsid w:val="00233C06"/>
    <w:rsid w:val="00241231"/>
    <w:rsid w:val="00244771"/>
    <w:rsid w:val="00270C02"/>
    <w:rsid w:val="00274D27"/>
    <w:rsid w:val="00285B0B"/>
    <w:rsid w:val="00295282"/>
    <w:rsid w:val="002C0885"/>
    <w:rsid w:val="002C2B69"/>
    <w:rsid w:val="002C468C"/>
    <w:rsid w:val="002C5928"/>
    <w:rsid w:val="002D5A5E"/>
    <w:rsid w:val="002E3E92"/>
    <w:rsid w:val="002E6A6C"/>
    <w:rsid w:val="00300FF4"/>
    <w:rsid w:val="00304C39"/>
    <w:rsid w:val="003147F3"/>
    <w:rsid w:val="00317AB1"/>
    <w:rsid w:val="00331A5C"/>
    <w:rsid w:val="00340390"/>
    <w:rsid w:val="00340E59"/>
    <w:rsid w:val="00342D5F"/>
    <w:rsid w:val="00346729"/>
    <w:rsid w:val="0034672C"/>
    <w:rsid w:val="00350E99"/>
    <w:rsid w:val="0036111E"/>
    <w:rsid w:val="00370A23"/>
    <w:rsid w:val="003939CC"/>
    <w:rsid w:val="003A1950"/>
    <w:rsid w:val="003A68A6"/>
    <w:rsid w:val="003B2698"/>
    <w:rsid w:val="003D039C"/>
    <w:rsid w:val="003E52E9"/>
    <w:rsid w:val="004308F3"/>
    <w:rsid w:val="00436ABB"/>
    <w:rsid w:val="00444D9E"/>
    <w:rsid w:val="00445F54"/>
    <w:rsid w:val="00452A1C"/>
    <w:rsid w:val="004604CD"/>
    <w:rsid w:val="00460785"/>
    <w:rsid w:val="00465D56"/>
    <w:rsid w:val="00471F20"/>
    <w:rsid w:val="004738D3"/>
    <w:rsid w:val="004866E5"/>
    <w:rsid w:val="00491098"/>
    <w:rsid w:val="004A1B43"/>
    <w:rsid w:val="00503447"/>
    <w:rsid w:val="00503EB3"/>
    <w:rsid w:val="005213C1"/>
    <w:rsid w:val="00525797"/>
    <w:rsid w:val="00527A1B"/>
    <w:rsid w:val="00545F3A"/>
    <w:rsid w:val="00577954"/>
    <w:rsid w:val="0058137D"/>
    <w:rsid w:val="00583813"/>
    <w:rsid w:val="00584714"/>
    <w:rsid w:val="005871E3"/>
    <w:rsid w:val="0059672F"/>
    <w:rsid w:val="005A4607"/>
    <w:rsid w:val="005A7186"/>
    <w:rsid w:val="005B2E3A"/>
    <w:rsid w:val="005D1C24"/>
    <w:rsid w:val="005E0913"/>
    <w:rsid w:val="005E6A5C"/>
    <w:rsid w:val="00623C92"/>
    <w:rsid w:val="00625362"/>
    <w:rsid w:val="0063032D"/>
    <w:rsid w:val="00632A2E"/>
    <w:rsid w:val="00643A9B"/>
    <w:rsid w:val="0065107E"/>
    <w:rsid w:val="00652009"/>
    <w:rsid w:val="0065353A"/>
    <w:rsid w:val="006612D3"/>
    <w:rsid w:val="00662B1F"/>
    <w:rsid w:val="00687FF9"/>
    <w:rsid w:val="006A12B9"/>
    <w:rsid w:val="006A1963"/>
    <w:rsid w:val="006A5162"/>
    <w:rsid w:val="006B02F6"/>
    <w:rsid w:val="006C4B1A"/>
    <w:rsid w:val="006E2E8A"/>
    <w:rsid w:val="006E6E2E"/>
    <w:rsid w:val="007004E9"/>
    <w:rsid w:val="007301D9"/>
    <w:rsid w:val="0073738D"/>
    <w:rsid w:val="0074305D"/>
    <w:rsid w:val="0074412D"/>
    <w:rsid w:val="007500F8"/>
    <w:rsid w:val="007622D8"/>
    <w:rsid w:val="00772037"/>
    <w:rsid w:val="007732FE"/>
    <w:rsid w:val="00780D2E"/>
    <w:rsid w:val="0079419C"/>
    <w:rsid w:val="007956E2"/>
    <w:rsid w:val="007A19A2"/>
    <w:rsid w:val="007A2EE6"/>
    <w:rsid w:val="007B0C57"/>
    <w:rsid w:val="007B1A37"/>
    <w:rsid w:val="007C2667"/>
    <w:rsid w:val="007C4CF6"/>
    <w:rsid w:val="007D531C"/>
    <w:rsid w:val="007D7DF5"/>
    <w:rsid w:val="007E65C0"/>
    <w:rsid w:val="007F3ECA"/>
    <w:rsid w:val="007F4154"/>
    <w:rsid w:val="008217D2"/>
    <w:rsid w:val="00823CF7"/>
    <w:rsid w:val="00856B0F"/>
    <w:rsid w:val="00871376"/>
    <w:rsid w:val="00874E4C"/>
    <w:rsid w:val="00887BF0"/>
    <w:rsid w:val="008945E7"/>
    <w:rsid w:val="008B325D"/>
    <w:rsid w:val="008C33AB"/>
    <w:rsid w:val="008D5EEF"/>
    <w:rsid w:val="008E285E"/>
    <w:rsid w:val="008E42CD"/>
    <w:rsid w:val="008F5FD8"/>
    <w:rsid w:val="0090535B"/>
    <w:rsid w:val="00911EA7"/>
    <w:rsid w:val="00911F89"/>
    <w:rsid w:val="009339A6"/>
    <w:rsid w:val="00936219"/>
    <w:rsid w:val="00950AD9"/>
    <w:rsid w:val="00960CFC"/>
    <w:rsid w:val="00961D15"/>
    <w:rsid w:val="00965AA4"/>
    <w:rsid w:val="00967752"/>
    <w:rsid w:val="00980F3C"/>
    <w:rsid w:val="00981001"/>
    <w:rsid w:val="009868AA"/>
    <w:rsid w:val="00995929"/>
    <w:rsid w:val="009B2FF2"/>
    <w:rsid w:val="009C0FC1"/>
    <w:rsid w:val="009D104F"/>
    <w:rsid w:val="009D6B99"/>
    <w:rsid w:val="009F6286"/>
    <w:rsid w:val="00A02615"/>
    <w:rsid w:val="00A16BA7"/>
    <w:rsid w:val="00A17CAE"/>
    <w:rsid w:val="00A30161"/>
    <w:rsid w:val="00A7212C"/>
    <w:rsid w:val="00A806F4"/>
    <w:rsid w:val="00AA5002"/>
    <w:rsid w:val="00AB25FB"/>
    <w:rsid w:val="00AD1301"/>
    <w:rsid w:val="00AF10F2"/>
    <w:rsid w:val="00B0043D"/>
    <w:rsid w:val="00B026B7"/>
    <w:rsid w:val="00B10A4B"/>
    <w:rsid w:val="00B14404"/>
    <w:rsid w:val="00B21529"/>
    <w:rsid w:val="00B22C06"/>
    <w:rsid w:val="00B36FC2"/>
    <w:rsid w:val="00B430EA"/>
    <w:rsid w:val="00B54958"/>
    <w:rsid w:val="00B71639"/>
    <w:rsid w:val="00B81349"/>
    <w:rsid w:val="00B8359F"/>
    <w:rsid w:val="00B876AD"/>
    <w:rsid w:val="00BA405B"/>
    <w:rsid w:val="00BA5A8B"/>
    <w:rsid w:val="00BA5B3D"/>
    <w:rsid w:val="00BC043F"/>
    <w:rsid w:val="00BD0592"/>
    <w:rsid w:val="00BE4153"/>
    <w:rsid w:val="00BF0449"/>
    <w:rsid w:val="00C2699F"/>
    <w:rsid w:val="00C27874"/>
    <w:rsid w:val="00C31403"/>
    <w:rsid w:val="00C31B4F"/>
    <w:rsid w:val="00C3740F"/>
    <w:rsid w:val="00C468BB"/>
    <w:rsid w:val="00C610C8"/>
    <w:rsid w:val="00C640D3"/>
    <w:rsid w:val="00C67FEA"/>
    <w:rsid w:val="00C70684"/>
    <w:rsid w:val="00C901AD"/>
    <w:rsid w:val="00C93FCF"/>
    <w:rsid w:val="00CA04F5"/>
    <w:rsid w:val="00CA156E"/>
    <w:rsid w:val="00CD5D2E"/>
    <w:rsid w:val="00CE4252"/>
    <w:rsid w:val="00CF556E"/>
    <w:rsid w:val="00D007A9"/>
    <w:rsid w:val="00D0268A"/>
    <w:rsid w:val="00D1220F"/>
    <w:rsid w:val="00D15217"/>
    <w:rsid w:val="00D351AB"/>
    <w:rsid w:val="00D4174E"/>
    <w:rsid w:val="00D45AD8"/>
    <w:rsid w:val="00D60B18"/>
    <w:rsid w:val="00D627CC"/>
    <w:rsid w:val="00D66A5E"/>
    <w:rsid w:val="00D709C9"/>
    <w:rsid w:val="00D77CBB"/>
    <w:rsid w:val="00D91C91"/>
    <w:rsid w:val="00D975C6"/>
    <w:rsid w:val="00DB453C"/>
    <w:rsid w:val="00DC707C"/>
    <w:rsid w:val="00DD1CF1"/>
    <w:rsid w:val="00DD6E4E"/>
    <w:rsid w:val="00DF2E8E"/>
    <w:rsid w:val="00E06A26"/>
    <w:rsid w:val="00E07CCC"/>
    <w:rsid w:val="00E13AB4"/>
    <w:rsid w:val="00E23833"/>
    <w:rsid w:val="00E32A51"/>
    <w:rsid w:val="00E33023"/>
    <w:rsid w:val="00E500E3"/>
    <w:rsid w:val="00E52F58"/>
    <w:rsid w:val="00E65843"/>
    <w:rsid w:val="00E718AE"/>
    <w:rsid w:val="00E7216B"/>
    <w:rsid w:val="00E775FD"/>
    <w:rsid w:val="00E94A59"/>
    <w:rsid w:val="00E97662"/>
    <w:rsid w:val="00EA1125"/>
    <w:rsid w:val="00EA53A5"/>
    <w:rsid w:val="00EC62B4"/>
    <w:rsid w:val="00EE0EAC"/>
    <w:rsid w:val="00EF1895"/>
    <w:rsid w:val="00EF391C"/>
    <w:rsid w:val="00F02425"/>
    <w:rsid w:val="00F1505E"/>
    <w:rsid w:val="00F16120"/>
    <w:rsid w:val="00F277B8"/>
    <w:rsid w:val="00F27D13"/>
    <w:rsid w:val="00F32773"/>
    <w:rsid w:val="00F530CF"/>
    <w:rsid w:val="00F5585F"/>
    <w:rsid w:val="00F67461"/>
    <w:rsid w:val="00F72D1D"/>
    <w:rsid w:val="00F75DDD"/>
    <w:rsid w:val="00F91EC6"/>
    <w:rsid w:val="00F93D34"/>
    <w:rsid w:val="00F95847"/>
    <w:rsid w:val="00FA3512"/>
    <w:rsid w:val="00FB4A89"/>
    <w:rsid w:val="00FC1115"/>
    <w:rsid w:val="00FC3E33"/>
    <w:rsid w:val="00FD40A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A5DA3-5AF1-4EB4-BC94-07DE4F37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7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9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C2"/>
    <w:pPr>
      <w:ind w:left="720"/>
      <w:contextualSpacing/>
    </w:pPr>
  </w:style>
  <w:style w:type="paragraph" w:styleId="NoSpacing">
    <w:name w:val="No Spacing"/>
    <w:uiPriority w:val="1"/>
    <w:qFormat/>
    <w:rsid w:val="00521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cid:image001.jpg@01CD3E8B.6EE21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ridabl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369E-1734-49F7-83E8-BE7565D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Florida</Company>
  <LinksUpToDate>false</LinksUpToDate>
  <CharactersWithSpaces>4686</CharactersWithSpaces>
  <SharedDoc>false</SharedDoc>
  <HLinks>
    <vt:vector size="6" baseType="variant">
      <vt:variant>
        <vt:i4>8192070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cid:image001.jpg@01CD3E8B.6EE21920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b4cd</dc:creator>
  <cp:lastModifiedBy>Lisa Giblin</cp:lastModifiedBy>
  <cp:revision>2</cp:revision>
  <dcterms:created xsi:type="dcterms:W3CDTF">2016-06-07T18:47:00Z</dcterms:created>
  <dcterms:modified xsi:type="dcterms:W3CDTF">2016-06-07T18:47:00Z</dcterms:modified>
</cp:coreProperties>
</file>